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5136B">
      <w:pPr>
        <w:pageBreakBefore w:val="0"/>
        <w:kinsoku/>
        <w:wordWrap/>
        <w:overflowPunct/>
        <w:topLinePunct w:val="0"/>
        <w:autoSpaceDE/>
        <w:autoSpaceDN/>
        <w:bidi w:val="0"/>
        <w:ind w:left="0"/>
        <w:jc w:val="center"/>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广丰区妇幼保健院信息化技术参数</w:t>
      </w:r>
    </w:p>
    <w:p w14:paraId="77C6F9F1">
      <w:pPr>
        <w:pageBreakBefore w:val="0"/>
        <w:kinsoku/>
        <w:wordWrap/>
        <w:overflowPunct/>
        <w:topLinePunct w:val="0"/>
        <w:autoSpaceDE/>
        <w:autoSpaceDN/>
        <w:bidi w:val="0"/>
        <w:ind w:left="0"/>
        <w:rPr>
          <w:rFonts w:hint="eastAsia" w:ascii="宋体" w:hAnsi="宋体" w:eastAsia="宋体" w:cs="宋体"/>
          <w:color w:val="000000" w:themeColor="text1"/>
          <w:sz w:val="24"/>
          <w:szCs w:val="24"/>
          <w14:textFill>
            <w14:solidFill>
              <w14:schemeClr w14:val="tx1"/>
            </w14:solidFill>
          </w14:textFill>
        </w:rPr>
      </w:pPr>
    </w:p>
    <w:p w14:paraId="5240630A">
      <w:pPr>
        <w:pStyle w:val="4"/>
        <w:pageBreakBefore w:val="0"/>
        <w:numPr>
          <w:numId w:val="0"/>
        </w:numPr>
        <w:kinsoku/>
        <w:wordWrap/>
        <w:overflowPunct/>
        <w:topLinePunct w:val="0"/>
        <w:autoSpaceDE/>
        <w:autoSpaceDN/>
        <w:bidi w:val="0"/>
        <w:spacing w:before="0" w:after="0"/>
        <w:ind w:left="0" w:leftChars="0" w:hanging="720" w:firstLineChars="0"/>
        <w:rPr>
          <w:rFonts w:hint="eastAsia" w:ascii="宋体" w:hAnsi="宋体" w:eastAsia="宋体" w:cs="宋体"/>
          <w:color w:val="000000" w:themeColor="text1"/>
          <w:sz w:val="24"/>
          <w:szCs w:val="24"/>
          <w14:textFill>
            <w14:solidFill>
              <w14:schemeClr w14:val="tx1"/>
            </w14:solidFill>
          </w14:textFill>
        </w:rPr>
      </w:pPr>
      <w:bookmarkStart w:id="0" w:name="_Toc63591109"/>
      <w:bookmarkStart w:id="1" w:name="_Toc369701334"/>
      <w:bookmarkStart w:id="2" w:name="_Toc369701311"/>
      <w:bookmarkStart w:id="3" w:name="_Toc448681835"/>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技术要求</w:t>
      </w:r>
    </w:p>
    <w:bookmarkEnd w:id="0"/>
    <w:p w14:paraId="0B24684D">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w:t>
      </w:r>
      <w:r>
        <w:rPr>
          <w:rFonts w:hint="eastAsia" w:ascii="宋体" w:hAnsi="宋体" w:eastAsia="宋体" w:cs="宋体"/>
          <w:color w:val="000000" w:themeColor="text1"/>
          <w:sz w:val="24"/>
          <w:szCs w:val="24"/>
          <w14:textFill>
            <w14:solidFill>
              <w14:schemeClr w14:val="tx1"/>
            </w14:solidFill>
          </w14:textFill>
        </w:rPr>
        <w:t>产科管理系统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3F0C2958">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电子产检本系统</w:t>
      </w:r>
    </w:p>
    <w:p w14:paraId="509AEB6F">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单点登录：支持与HIS系统集成（嵌入到HIS医生站），当医生切换患者信息时，不需要重新登录，系统会自动同步切换患者。</w:t>
      </w:r>
    </w:p>
    <w:p w14:paraId="6246F2B0">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检树：提供孕产妇本次怀孕产检的全部信息列表，包括新增复检、切换孕妇，以树形方式展现系统功能入口，如孕妇初检内容、历次复检内容、辅助检查列表、专案指标监测等，支持远程胎心监护等第三方功能以URL方式挂入。</w:t>
      </w:r>
    </w:p>
    <w:p w14:paraId="56D94352">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产检小结：显示孕产妇基本情况、当前孕周、高危标识、月经史、孕产史、既往病史、传染病史、过敏史、艾梅乙筛查情况、唐氏筛查情况；提供孕早、中、晚期关键辅助检查项目一览。</w:t>
      </w:r>
    </w:p>
    <w:p w14:paraId="67F88484">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产检一览表：以列表形式提供产检情况一览，倒序显示每次产检记录，包括产检时间、孕周、高危变化、关键指标等。</w:t>
      </w:r>
    </w:p>
    <w:p w14:paraId="4400B317">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孕周纠正：支持多种纠正方式辅助计算孕周，并支持纠正记录。</w:t>
      </w:r>
    </w:p>
    <w:p w14:paraId="69E34BD9">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监测曲线：提供包括宫高曲线图、腹围曲线图、BMI曲线图等监测曲线，给医生提供更加精准直观的数据参考。</w:t>
      </w:r>
    </w:p>
    <w:p w14:paraId="4FE1C382">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高危评估史：按时间轴显示每次产检高危评估的情况。</w:t>
      </w:r>
    </w:p>
    <w:p w14:paraId="23163FD9">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保健指南：提供孕产保健指南要求的每次产检内容，方便医生查阅。</w:t>
      </w:r>
    </w:p>
    <w:p w14:paraId="279C37B5">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产检病历编写：系统支持初检、复检记录，提供产检记录全结构化的存储，支持产检记录打印。可自动读取自助采集设备上传的体征数据、检查检验结果填入产检记录。</w:t>
      </w:r>
    </w:p>
    <w:p w14:paraId="2F11E65C">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高危智能评估：支持高危五色标识，可根据产检记录中采集的信息自动进行高危评估。</w:t>
      </w:r>
    </w:p>
    <w:p w14:paraId="5CBF1576">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保健指导自动生成：系统可以根据孕产妇孕周自动生成保健指导，自动生成下次产检时间。</w:t>
      </w:r>
    </w:p>
    <w:p w14:paraId="29A738FE">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胎儿生长发育：粘贴B超检查结果自动分析胎儿生长发育数据（BPD、HC、AC、FL），支持手动输入胎儿B超数据，系统自动计算胎儿体重，自动生成胎儿生长发育曲线图和胎儿生长体重曲线图。</w:t>
      </w:r>
    </w:p>
    <w:p w14:paraId="0F423C0C">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知识库维护：系统支持对知识库内容进行维护和设置，医生在编写产检记录时可以引用知识库内容，快速完成写入。</w:t>
      </w:r>
    </w:p>
    <w:p w14:paraId="7B064EAE">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临床信息引用：系统支持对接LIS、PACS系统，获取患者的检查化验结果并导入产检病历中。</w:t>
      </w:r>
    </w:p>
    <w:p w14:paraId="3C055D80">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数据上报：系统支持与江西省妇幼保健平台对接，实现孕产保健数据的自动报送。</w:t>
      </w:r>
    </w:p>
    <w:p w14:paraId="34E0CDBE">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产科随访闭环：支持根据预约日期提前发送复诊提醒，支持后台配置方案开展满意度调查和健教。</w:t>
      </w:r>
    </w:p>
    <w:p w14:paraId="2F41CE7C">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门诊自助采集系统</w:t>
      </w:r>
    </w:p>
    <w:p w14:paraId="0A9B4A6F">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用户身份识别：支持读取HIS诊疗卡、智慧产科二维码、身份证等进行身份验证，将本次测试数据与该用户进行关联。</w:t>
      </w:r>
    </w:p>
    <w:p w14:paraId="02834092">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身高体重测量：读取身高体重仪的数据，并上传至后台系统。</w:t>
      </w:r>
    </w:p>
    <w:p w14:paraId="0050D605">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血压测量：读取血压数据，并上传至后台系统。</w:t>
      </w:r>
    </w:p>
    <w:p w14:paraId="382F1B0B">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配置：支持管理员通过登录后台对输入设备设置进行配置，支持选择就诊卡、扫码、身份证、社保卡；支持在后台进行系统界面倒计时时间设置，包括血压检测前等待时间、身高体重测量前等待时间、结束提醒界面时间、关机时间</w:t>
      </w:r>
    </w:p>
    <w:p w14:paraId="022D3954">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后台管理：可登录后台查询患者的体征测量信息。</w:t>
      </w:r>
    </w:p>
    <w:p w14:paraId="1BFD07E9">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孕妇自助建册系统</w:t>
      </w:r>
    </w:p>
    <w:p w14:paraId="5525388F">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扫码建册：现场提供二维码，由孕妇手机扫二维码进入建册界面。</w:t>
      </w:r>
    </w:p>
    <w:p w14:paraId="0FF7984C">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孕妇信息：由孕妇在手机上填孕妇个人的建册相关信息。</w:t>
      </w:r>
    </w:p>
    <w:p w14:paraId="289A66FD">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丈夫信息：由孕妇在手机上填写孕妇丈夫相关信息。</w:t>
      </w:r>
    </w:p>
    <w:p w14:paraId="466DC769">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产检信息：由孕妇在手机上填写产检相关信息。</w:t>
      </w:r>
    </w:p>
    <w:p w14:paraId="7C87D644">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数据上传：将确定的建册数据上传至后台系统。</w:t>
      </w:r>
    </w:p>
    <w:p w14:paraId="7004DC50">
      <w:pPr>
        <w:pageBreakBefore w:val="0"/>
        <w:kinsoku/>
        <w:wordWrap/>
        <w:overflowPunct/>
        <w:topLinePunct w:val="0"/>
        <w:autoSpaceDE/>
        <w:autoSpaceDN/>
        <w:bidi w:val="0"/>
        <w:adjustRightInd w:val="0"/>
        <w:snapToGrid w:val="0"/>
        <w:ind w:left="0" w:leftChars="0" w:firstLine="420" w:firstLineChars="1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建册审核：提供建册审核功能。医护人员可在此审核自助建册内容，对错误之处进行修改，确认无误后完成建册。</w:t>
      </w:r>
    </w:p>
    <w:p w14:paraId="5D47DA1A">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w:t>
      </w:r>
      <w:r>
        <w:rPr>
          <w:rFonts w:hint="eastAsia" w:ascii="宋体" w:hAnsi="宋体" w:eastAsia="宋体" w:cs="宋体"/>
          <w:color w:val="000000" w:themeColor="text1"/>
          <w:sz w:val="24"/>
          <w:szCs w:val="24"/>
          <w14:textFill>
            <w14:solidFill>
              <w14:schemeClr w14:val="tx1"/>
            </w14:solidFill>
          </w14:textFill>
        </w:rPr>
        <w:t>儿童保健系统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71A7425D">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4" w:name="_Toc735421859"/>
      <w:bookmarkStart w:id="5" w:name="_Toc26473149"/>
      <w:bookmarkStart w:id="6" w:name="_Toc27660176"/>
      <w:r>
        <w:rPr>
          <w:rFonts w:hint="eastAsia" w:ascii="宋体" w:hAnsi="宋体" w:eastAsia="宋体" w:cs="宋体"/>
          <w:b/>
          <w:bCs/>
          <w:color w:val="000000" w:themeColor="text1"/>
          <w:sz w:val="24"/>
          <w:szCs w:val="24"/>
          <w14:textFill>
            <w14:solidFill>
              <w14:schemeClr w14:val="tx1"/>
            </w14:solidFill>
          </w14:textFill>
        </w:rPr>
        <w:t>儿童档案管理</w:t>
      </w:r>
      <w:bookmarkEnd w:id="4"/>
    </w:p>
    <w:tbl>
      <w:tblPr>
        <w:tblStyle w:val="4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6237"/>
      </w:tblGrid>
      <w:tr w14:paraId="158AD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4" w:type="dxa"/>
          </w:tcPr>
          <w:p w14:paraId="38A9D99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701" w:type="dxa"/>
          </w:tcPr>
          <w:p w14:paraId="670CDCE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功能名称</w:t>
            </w:r>
          </w:p>
        </w:tc>
        <w:tc>
          <w:tcPr>
            <w:tcW w:w="6237" w:type="dxa"/>
          </w:tcPr>
          <w:p w14:paraId="7383777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功能要求</w:t>
            </w:r>
          </w:p>
        </w:tc>
      </w:tr>
      <w:tr w14:paraId="3F78D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AB8E384">
            <w:pPr>
              <w:pStyle w:val="189"/>
              <w:pageBreakBefore w:val="0"/>
              <w:numPr>
                <w:ilvl w:val="0"/>
                <w:numId w:val="12"/>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71FD039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儿童建册</w:t>
            </w:r>
          </w:p>
        </w:tc>
        <w:tc>
          <w:tcPr>
            <w:tcW w:w="6237" w:type="dxa"/>
          </w:tcPr>
          <w:p w14:paraId="127F7A0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数据来源可从分娩数据自动转入、从HIS导入、和手工录入多种形式。支持通过手机自助建册。</w:t>
            </w:r>
          </w:p>
        </w:tc>
      </w:tr>
      <w:tr w14:paraId="0DD6C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974860E">
            <w:pPr>
              <w:pStyle w:val="189"/>
              <w:pageBreakBefore w:val="0"/>
              <w:numPr>
                <w:ilvl w:val="0"/>
                <w:numId w:val="12"/>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26478DE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建册审核</w:t>
            </w:r>
          </w:p>
        </w:tc>
        <w:tc>
          <w:tcPr>
            <w:tcW w:w="6237" w:type="dxa"/>
          </w:tcPr>
          <w:p w14:paraId="221B569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审核手机提交的自助建册内容。</w:t>
            </w:r>
          </w:p>
        </w:tc>
      </w:tr>
      <w:tr w14:paraId="741CA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4EBF4BB">
            <w:pPr>
              <w:pStyle w:val="189"/>
              <w:pageBreakBefore w:val="0"/>
              <w:numPr>
                <w:ilvl w:val="0"/>
                <w:numId w:val="12"/>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B185B7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档案查询</w:t>
            </w:r>
          </w:p>
        </w:tc>
        <w:tc>
          <w:tcPr>
            <w:tcW w:w="6237" w:type="dxa"/>
          </w:tcPr>
          <w:p w14:paraId="20799A2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支持按时间、地域、机构、姓名、保健手册号等查询儿童建册信息；支持儿童结案。</w:t>
            </w:r>
          </w:p>
        </w:tc>
      </w:tr>
      <w:tr w14:paraId="7D17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A6BF162">
            <w:pPr>
              <w:pStyle w:val="189"/>
              <w:pageBreakBefore w:val="0"/>
              <w:numPr>
                <w:ilvl w:val="0"/>
                <w:numId w:val="12"/>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A17F0F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儿童健康档案</w:t>
            </w:r>
          </w:p>
        </w:tc>
        <w:tc>
          <w:tcPr>
            <w:tcW w:w="6237" w:type="dxa"/>
          </w:tcPr>
          <w:p w14:paraId="33847F6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支持儿童全部门诊记录的电子报告汇总，支持系管月龄完成情况展示，支持发育曲线和报告连打</w:t>
            </w:r>
          </w:p>
        </w:tc>
      </w:tr>
    </w:tbl>
    <w:p w14:paraId="14444E6D">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7" w:name="_Toc1466795728"/>
      <w:r>
        <w:rPr>
          <w:rFonts w:hint="eastAsia" w:ascii="宋体" w:hAnsi="宋体" w:eastAsia="宋体" w:cs="宋体"/>
          <w:b/>
          <w:bCs/>
          <w:color w:val="000000" w:themeColor="text1"/>
          <w:sz w:val="24"/>
          <w:szCs w:val="24"/>
          <w14:textFill>
            <w14:solidFill>
              <w14:schemeClr w14:val="tx1"/>
            </w14:solidFill>
          </w14:textFill>
        </w:rPr>
        <w:t>早期发展管理</w:t>
      </w:r>
      <w:bookmarkEnd w:id="7"/>
    </w:p>
    <w:tbl>
      <w:tblPr>
        <w:tblStyle w:val="4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6237"/>
      </w:tblGrid>
      <w:tr w14:paraId="33B92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4" w:type="dxa"/>
          </w:tcPr>
          <w:p w14:paraId="1B81737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701" w:type="dxa"/>
          </w:tcPr>
          <w:p w14:paraId="50370A6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功能名称</w:t>
            </w:r>
          </w:p>
        </w:tc>
        <w:tc>
          <w:tcPr>
            <w:tcW w:w="6237" w:type="dxa"/>
          </w:tcPr>
          <w:p w14:paraId="6A96BC0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功能要求</w:t>
            </w:r>
          </w:p>
        </w:tc>
      </w:tr>
      <w:tr w14:paraId="5D0B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0F86693">
            <w:pPr>
              <w:pStyle w:val="189"/>
              <w:pageBreakBefore w:val="0"/>
              <w:numPr>
                <w:ilvl w:val="0"/>
                <w:numId w:val="13"/>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3484042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会员套餐</w:t>
            </w:r>
          </w:p>
        </w:tc>
        <w:tc>
          <w:tcPr>
            <w:tcW w:w="6237" w:type="dxa"/>
          </w:tcPr>
          <w:p w14:paraId="479FEB1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支持机构自定义套餐，支持套餐里自定义体检月龄和体检项目。支持体检时识别是否体检套餐内体检。</w:t>
            </w:r>
          </w:p>
        </w:tc>
      </w:tr>
      <w:tr w14:paraId="55EB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FEEC063">
            <w:pPr>
              <w:pStyle w:val="189"/>
              <w:pageBreakBefore w:val="0"/>
              <w:numPr>
                <w:ilvl w:val="0"/>
                <w:numId w:val="13"/>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25574A4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体检预约</w:t>
            </w:r>
          </w:p>
        </w:tc>
        <w:tc>
          <w:tcPr>
            <w:tcW w:w="6237" w:type="dxa"/>
          </w:tcPr>
          <w:p w14:paraId="20C8E44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支持一次性预约到指定年龄段，支持根据套餐规划的月龄进行预约，支持预约取消和修改，支持7天、1月、3月、半年等条件的快速预约。预约记录查询</w:t>
            </w:r>
          </w:p>
        </w:tc>
      </w:tr>
      <w:tr w14:paraId="3A9E4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AAC650A">
            <w:pPr>
              <w:pStyle w:val="189"/>
              <w:pageBreakBefore w:val="0"/>
              <w:numPr>
                <w:ilvl w:val="0"/>
                <w:numId w:val="13"/>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02ACFC0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逾期查询</w:t>
            </w:r>
          </w:p>
        </w:tc>
        <w:tc>
          <w:tcPr>
            <w:tcW w:w="6237" w:type="dxa"/>
          </w:tcPr>
          <w:p w14:paraId="414CCE9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逾期人数提醒，逾期天数、管理类型复合查询。</w:t>
            </w:r>
          </w:p>
        </w:tc>
      </w:tr>
    </w:tbl>
    <w:p w14:paraId="64EF97D5">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8" w:name="_Toc1471016583"/>
      <w:r>
        <w:rPr>
          <w:rFonts w:hint="eastAsia" w:ascii="宋体" w:hAnsi="宋体" w:eastAsia="宋体" w:cs="宋体"/>
          <w:b/>
          <w:bCs/>
          <w:color w:val="000000" w:themeColor="text1"/>
          <w:sz w:val="24"/>
          <w:szCs w:val="24"/>
          <w14:textFill>
            <w14:solidFill>
              <w14:schemeClr w14:val="tx1"/>
            </w14:solidFill>
          </w14:textFill>
        </w:rPr>
        <w:t>医护门诊工作站</w:t>
      </w:r>
      <w:bookmarkEnd w:id="8"/>
    </w:p>
    <w:tbl>
      <w:tblPr>
        <w:tblStyle w:val="47"/>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6237"/>
      </w:tblGrid>
      <w:tr w14:paraId="71EE4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4" w:type="dxa"/>
          </w:tcPr>
          <w:p w14:paraId="56A0A490">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701" w:type="dxa"/>
          </w:tcPr>
          <w:p w14:paraId="6BD60E83">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功能名称</w:t>
            </w:r>
          </w:p>
        </w:tc>
        <w:tc>
          <w:tcPr>
            <w:tcW w:w="6237" w:type="dxa"/>
          </w:tcPr>
          <w:p w14:paraId="0DF7AE81">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功能要求</w:t>
            </w:r>
          </w:p>
        </w:tc>
      </w:tr>
      <w:tr w14:paraId="3FC7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D614FB0">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793AFB76">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导诊台</w:t>
            </w:r>
          </w:p>
        </w:tc>
        <w:tc>
          <w:tcPr>
            <w:tcW w:w="6237" w:type="dxa"/>
          </w:tcPr>
          <w:p w14:paraId="66CDC69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支持护士登记体检儿童，识别购买套餐的儿童，并按月龄自动分诊，支持导诊单打印。</w:t>
            </w:r>
          </w:p>
          <w:p w14:paraId="7F4972D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提供今日预约、今日建册、今日体检登记、今日测量等快速查询功能。</w:t>
            </w:r>
          </w:p>
        </w:tc>
      </w:tr>
      <w:tr w14:paraId="4CBC8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62C5666A">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49F6E70B">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体征采集</w:t>
            </w:r>
          </w:p>
        </w:tc>
        <w:tc>
          <w:tcPr>
            <w:tcW w:w="6237" w:type="dxa"/>
          </w:tcPr>
          <w:p w14:paraId="200A787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身高体重头围等体征值测量登记功能，支持异常数据提醒，支持历史数据查看，支持儿童照片现场采集。</w:t>
            </w:r>
          </w:p>
        </w:tc>
      </w:tr>
      <w:tr w14:paraId="19A35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89BB4FF">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087B86B0">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分诊导引</w:t>
            </w:r>
          </w:p>
        </w:tc>
        <w:tc>
          <w:tcPr>
            <w:tcW w:w="6237" w:type="dxa"/>
          </w:tcPr>
          <w:p w14:paraId="05EABEB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支持按月龄和套餐类型自动提示当前儿童体检检查项目组合，申请的检查项目可以自动分到相应科室门诊的未诊列表中。支持导引单打印。</w:t>
            </w:r>
          </w:p>
        </w:tc>
      </w:tr>
      <w:tr w14:paraId="35A38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A20C70A">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46808B5F">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门诊工作站</w:t>
            </w:r>
          </w:p>
        </w:tc>
        <w:tc>
          <w:tcPr>
            <w:tcW w:w="6237" w:type="dxa"/>
          </w:tcPr>
          <w:p w14:paraId="4C6F92F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待诊/已诊列表</w:t>
            </w:r>
          </w:p>
          <w:p w14:paraId="6F65738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列表显示前来门诊的儿童名单。选择儿童进入门诊接诊功能。</w:t>
            </w:r>
          </w:p>
          <w:p w14:paraId="220D060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生长发育速率评估指导</w:t>
            </w:r>
          </w:p>
          <w:p w14:paraId="68AD6FF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记录儿童身高、体重值，并给出标准值、相比上次的变化值、此次测量值的评价。自动算出BMI值，给出身高别体重评价。根据测量结果自动给出营养评价。</w:t>
            </w:r>
          </w:p>
          <w:p w14:paraId="60AC673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生长发育监测曲线</w:t>
            </w:r>
          </w:p>
          <w:p w14:paraId="51015E3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记录儿童身高、体重值，并给出标准值、相比上次的变化值、此次测量值的评价。自动算出BMI值，给出身高别体重评价。根据测量结果自动给出营养评价。</w:t>
            </w:r>
          </w:p>
          <w:p w14:paraId="3C88094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健康检查</w:t>
            </w:r>
          </w:p>
          <w:p w14:paraId="49D96D9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记录本次检查值——喂养情况，身高、体重、头围等测查情况，面色、皮肤、头颅等的体格检查情况，发育监测，辅助检查结果等。 支持自动加载测量测评结果，支持模板录入和一键填充。 支持按月龄配置体检项目，支持月龄自动计算和早产儿月龄矫正。 支持从疾病库选择诊断，支持根据诊断结果提醒专案管理并登记</w:t>
            </w:r>
          </w:p>
          <w:p w14:paraId="354F2B6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量表测评</w:t>
            </w:r>
          </w:p>
          <w:p w14:paraId="3940E29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早期发展专科相关量表供医生选择。医生可在此对该儿童进行测评。支持查看儿童全部测评结果。</w:t>
            </w:r>
          </w:p>
          <w:p w14:paraId="0940877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早期发展综合报告</w:t>
            </w:r>
          </w:p>
          <w:p w14:paraId="0B9A330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自动汇总儿童的体格检查情况、专科检查情况、喂养情况、辅助检查情况、测评结果等各科室体检内容生成儿童完整健康检查报告。可以提供家长手机端查看</w:t>
            </w:r>
          </w:p>
        </w:tc>
      </w:tr>
      <w:tr w14:paraId="7E48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D448A89">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29839538">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儿保专科电子病历</w:t>
            </w:r>
          </w:p>
        </w:tc>
        <w:tc>
          <w:tcPr>
            <w:tcW w:w="6237" w:type="dxa"/>
          </w:tcPr>
          <w:p w14:paraId="38004AF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支持按月龄配置体检项目，支持病历模版和知识库，支持月龄自动计算和早产儿月龄矫正</w:t>
            </w:r>
          </w:p>
        </w:tc>
      </w:tr>
      <w:tr w14:paraId="0C07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35324D4C">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5CC38D8">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体格测评、营养评价及喂养指导</w:t>
            </w:r>
          </w:p>
          <w:p w14:paraId="66ADA74F">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6237" w:type="dxa"/>
          </w:tcPr>
          <w:p w14:paraId="2EF870A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对儿童的身高、体重、头围等数据进行记录、查询、编辑，并根据WHO 标准或9城市标准自动给出评价结果。支持绘制生长发育动态曲线图（年龄别身高、年龄别体重、身高别体重、年龄别头围、BMI），支持多种评价方法（三级、五级、六级）,根据儿童发育情况给予个体化专家指导方案及辅助方案(特殊情况)。</w:t>
            </w:r>
          </w:p>
        </w:tc>
      </w:tr>
      <w:tr w14:paraId="3EF3B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9EFF365">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55592E79">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生长发育监测曲线</w:t>
            </w:r>
          </w:p>
        </w:tc>
        <w:tc>
          <w:tcPr>
            <w:tcW w:w="6237" w:type="dxa"/>
          </w:tcPr>
          <w:p w14:paraId="5958CE6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医生可以在体检页面查看儿童的完整生长发育曲线图，支持早产儿2岁以内十足和矫正的曲线切换。</w:t>
            </w:r>
          </w:p>
        </w:tc>
      </w:tr>
      <w:tr w14:paraId="2078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801C448">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6D3C20A">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生长发育标准选择</w:t>
            </w:r>
          </w:p>
        </w:tc>
        <w:tc>
          <w:tcPr>
            <w:tcW w:w="6237" w:type="dxa"/>
          </w:tcPr>
          <w:p w14:paraId="64C7E93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支持多种发育标准数据集在评价、监测曲线上进行选择：WHO2006标准（标准差/百分位）</w:t>
            </w:r>
          </w:p>
          <w:p w14:paraId="644A351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九城市2009 标准（标准差/百分位）</w:t>
            </w:r>
          </w:p>
          <w:p w14:paraId="0DE4E02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支持日标、月标精度切换，支持3、5、6级发育评价法，支持测量值P/Z计算、支持中位数肥胖算法、单纯肥胖分度评价法。</w:t>
            </w:r>
          </w:p>
        </w:tc>
      </w:tr>
      <w:tr w14:paraId="6DD8C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53619C7E">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2BD62E4">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体格检查历史摘要</w:t>
            </w:r>
          </w:p>
        </w:tc>
        <w:tc>
          <w:tcPr>
            <w:tcW w:w="6237" w:type="dxa"/>
          </w:tcPr>
          <w:p w14:paraId="1687ABD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自动摘要儿童在历次体检中的生长发育评价，以及异常情况。</w:t>
            </w:r>
          </w:p>
        </w:tc>
      </w:tr>
      <w:tr w14:paraId="493DD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2F722CE5">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4A3110B4">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体检预约登记</w:t>
            </w:r>
          </w:p>
        </w:tc>
        <w:tc>
          <w:tcPr>
            <w:tcW w:w="6237" w:type="dxa"/>
          </w:tcPr>
          <w:p w14:paraId="575A961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在儿童进行检查后,医生可以选择预约下次门诊时间。</w:t>
            </w:r>
          </w:p>
        </w:tc>
      </w:tr>
      <w:tr w14:paraId="3B56A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tcPr>
          <w:p w14:paraId="6463E255">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66EEB044">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保健指导建议</w:t>
            </w:r>
          </w:p>
        </w:tc>
        <w:tc>
          <w:tcPr>
            <w:tcW w:w="6237" w:type="dxa"/>
          </w:tcPr>
          <w:p w14:paraId="6DED154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支持根据月龄，自动给出喂养、养育、护理、早教等不同的指导内容，支持根据医院的需求对指导建议进行调整。</w:t>
            </w:r>
          </w:p>
        </w:tc>
      </w:tr>
      <w:tr w14:paraId="391F9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6C48E0E">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3D8A7093">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综合体检报告</w:t>
            </w:r>
          </w:p>
        </w:tc>
        <w:tc>
          <w:tcPr>
            <w:tcW w:w="6237" w:type="dxa"/>
          </w:tcPr>
          <w:p w14:paraId="030D87C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自动汇总儿童的体格检查情况、专科检查情况、喂养情况、辅助检查情况、测评结果等各科室体检内容生成儿童完整健康检查报告。供家长手机端查看。</w:t>
            </w:r>
          </w:p>
        </w:tc>
      </w:tr>
      <w:tr w14:paraId="39D50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C503E56">
            <w:pPr>
              <w:pStyle w:val="189"/>
              <w:keepNext w:val="0"/>
              <w:keepLines w:val="0"/>
              <w:pageBreakBefore w:val="0"/>
              <w:numPr>
                <w:ilvl w:val="0"/>
                <w:numId w:val="14"/>
              </w:numPr>
              <w:kinsoku/>
              <w:wordWrap/>
              <w:overflowPunct/>
              <w:topLinePunct w:val="0"/>
              <w:autoSpaceDE/>
              <w:autoSpaceDN/>
              <w:bidi w:val="0"/>
              <w:adjustRightInd/>
              <w:snapToGrid/>
              <w:ind w:left="0" w:leftChars="0" w:firstLine="0" w:firstLineChars="0"/>
              <w:jc w:val="center"/>
              <w:textAlignment w:val="auto"/>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7D741F43">
            <w:pPr>
              <w:keepNext w:val="0"/>
              <w:keepLines w:val="0"/>
              <w:pageBreakBefore w:val="0"/>
              <w:kinsoku/>
              <w:wordWrap/>
              <w:overflowPunct/>
              <w:topLinePunct w:val="0"/>
              <w:autoSpaceDE/>
              <w:autoSpaceDN/>
              <w:bidi w:val="0"/>
              <w:adjustRightInd/>
              <w:snapToGrid/>
              <w:spacing w:line="240" w:lineRule="auto"/>
              <w:ind w:left="0" w:leftChars="0"/>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门诊工作量视图</w:t>
            </w:r>
          </w:p>
        </w:tc>
        <w:tc>
          <w:tcPr>
            <w:tcW w:w="6237" w:type="dxa"/>
          </w:tcPr>
          <w:p w14:paraId="6AE04C1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支持体检视图、医护视图、儿童视图、套餐视图，可以透视体检项目、医护工作量、儿童年龄分布、套餐使用的情况。</w:t>
            </w:r>
          </w:p>
        </w:tc>
      </w:tr>
    </w:tbl>
    <w:p w14:paraId="3BAC322A">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9" w:name="_Toc1543966217"/>
      <w:r>
        <w:rPr>
          <w:rFonts w:hint="eastAsia" w:ascii="宋体" w:hAnsi="宋体" w:eastAsia="宋体" w:cs="宋体"/>
          <w:b/>
          <w:bCs/>
          <w:color w:val="000000" w:themeColor="text1"/>
          <w:sz w:val="24"/>
          <w:szCs w:val="24"/>
          <w14:textFill>
            <w14:solidFill>
              <w14:schemeClr w14:val="tx1"/>
            </w14:solidFill>
          </w14:textFill>
        </w:rPr>
        <w:t>高危儿及专案管理</w:t>
      </w:r>
      <w:bookmarkEnd w:id="9"/>
    </w:p>
    <w:tbl>
      <w:tblPr>
        <w:tblStyle w:val="47"/>
        <w:tblW w:w="8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701"/>
        <w:gridCol w:w="6165"/>
      </w:tblGrid>
      <w:tr w14:paraId="4C091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4" w:type="dxa"/>
          </w:tcPr>
          <w:p w14:paraId="580D435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701" w:type="dxa"/>
          </w:tcPr>
          <w:p w14:paraId="0FDCF81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功能名称</w:t>
            </w:r>
          </w:p>
        </w:tc>
        <w:tc>
          <w:tcPr>
            <w:tcW w:w="6165" w:type="dxa"/>
          </w:tcPr>
          <w:p w14:paraId="2B252BA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功能要求</w:t>
            </w:r>
          </w:p>
        </w:tc>
      </w:tr>
      <w:tr w14:paraId="33535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500DC2E">
            <w:pPr>
              <w:pStyle w:val="189"/>
              <w:pageBreakBefore w:val="0"/>
              <w:numPr>
                <w:ilvl w:val="0"/>
                <w:numId w:val="15"/>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5D0B82D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高危儿列表</w:t>
            </w:r>
          </w:p>
        </w:tc>
        <w:tc>
          <w:tcPr>
            <w:tcW w:w="6165" w:type="dxa"/>
          </w:tcPr>
          <w:p w14:paraId="1DA7397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筛选出所有属于三级高危管理范畴的儿童列表。展示高危因素、专案类型等信息，支持转诊。</w:t>
            </w:r>
          </w:p>
        </w:tc>
      </w:tr>
      <w:tr w14:paraId="62D4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EDEACE4">
            <w:pPr>
              <w:pStyle w:val="189"/>
              <w:pageBreakBefore w:val="0"/>
              <w:numPr>
                <w:ilvl w:val="0"/>
                <w:numId w:val="15"/>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5F9B653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高危分类分级管理</w:t>
            </w:r>
          </w:p>
        </w:tc>
        <w:tc>
          <w:tcPr>
            <w:tcW w:w="6165" w:type="dxa"/>
          </w:tcPr>
          <w:p w14:paraId="6787E12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支持出生状况、遗传性疾病、孕期异常、产时异常、养育环境等高危因素分类、可自定义高危因素，修改因素等级和分类。</w:t>
            </w:r>
          </w:p>
        </w:tc>
      </w:tr>
      <w:tr w14:paraId="7FB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A92ACBB">
            <w:pPr>
              <w:pStyle w:val="189"/>
              <w:pageBreakBefore w:val="0"/>
              <w:numPr>
                <w:ilvl w:val="0"/>
                <w:numId w:val="15"/>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37F93E4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围产高危儿专案管理</w:t>
            </w:r>
          </w:p>
        </w:tc>
        <w:tc>
          <w:tcPr>
            <w:tcW w:w="6165" w:type="dxa"/>
          </w:tcPr>
          <w:p w14:paraId="6FD5FF8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包括高危早产儿专案、低危早产儿专案、普通高危儿专案、艾梅乙专案。支持专案管理中查询、随访情况查询、结案。</w:t>
            </w:r>
          </w:p>
        </w:tc>
      </w:tr>
      <w:tr w14:paraId="373ED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167D46A8">
            <w:pPr>
              <w:pStyle w:val="189"/>
              <w:pageBreakBefore w:val="0"/>
              <w:numPr>
                <w:ilvl w:val="0"/>
                <w:numId w:val="15"/>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5F0C4DE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高危儿自动识别</w:t>
            </w:r>
          </w:p>
        </w:tc>
        <w:tc>
          <w:tcPr>
            <w:tcW w:w="6165" w:type="dxa"/>
          </w:tcPr>
          <w:p w14:paraId="7615A3E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支持建册时高危儿自动识别、自动分级（三级），支持建册后高危专案登记提醒。</w:t>
            </w:r>
          </w:p>
        </w:tc>
      </w:tr>
      <w:tr w14:paraId="0000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183D299">
            <w:pPr>
              <w:pStyle w:val="189"/>
              <w:pageBreakBefore w:val="0"/>
              <w:numPr>
                <w:ilvl w:val="0"/>
                <w:numId w:val="15"/>
              </w:numPr>
              <w:kinsoku/>
              <w:wordWrap/>
              <w:overflowPunct/>
              <w:topLinePunct w:val="0"/>
              <w:autoSpaceDE/>
              <w:autoSpaceDN/>
              <w:bidi w:val="0"/>
              <w:ind w:left="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1701" w:type="dxa"/>
          </w:tcPr>
          <w:p w14:paraId="3932D9C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营养性疾病专案管理</w:t>
            </w:r>
          </w:p>
        </w:tc>
        <w:tc>
          <w:tcPr>
            <w:tcW w:w="6165" w:type="dxa"/>
          </w:tcPr>
          <w:p w14:paraId="6ED86DF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包括蛋白质营养不良专案、贫血专案、佝偻病专案、肥胖专案。支持专案管理中查询、随访情况查询、结案。</w:t>
            </w:r>
          </w:p>
        </w:tc>
      </w:tr>
      <w:tr w14:paraId="5DC90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4EA0890F">
            <w:pPr>
              <w:pStyle w:val="189"/>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6</w:t>
            </w:r>
          </w:p>
        </w:tc>
        <w:tc>
          <w:tcPr>
            <w:tcW w:w="1701" w:type="dxa"/>
          </w:tcPr>
          <w:p w14:paraId="22AF3CD1">
            <w:pPr>
              <w:keepNext w:val="0"/>
              <w:keepLines w:val="0"/>
              <w:pageBreakBefore w:val="0"/>
              <w:widowControl w:val="0"/>
              <w:suppressLineNumbers w:val="0"/>
              <w:kinsoku/>
              <w:wordWrap/>
              <w:overflowPunct/>
              <w:topLinePunct w:val="0"/>
              <w:autoSpaceDE/>
              <w:autoSpaceDN/>
              <w:bidi w:val="0"/>
              <w:spacing w:beforeAutospacing="0" w:afterAutospacing="0"/>
              <w:ind w:left="0" w:right="0"/>
              <w:jc w:val="left"/>
              <w:rPr>
                <w:rFonts w:hint="eastAsia" w:ascii="宋体" w:hAnsi="宋体" w:eastAsia="宋体" w:cs="宋体"/>
                <w:b/>
                <w:bCs w:val="0"/>
                <w:color w:val="000000" w:themeColor="text1"/>
                <w:kern w:val="2"/>
                <w:sz w:val="24"/>
                <w:szCs w:val="24"/>
                <w14:textFill>
                  <w14:solidFill>
                    <w14:schemeClr w14:val="tx1"/>
                  </w14:solidFill>
                </w14:textFill>
                <w:woUserID w:val="7"/>
              </w:rPr>
            </w:pPr>
            <w:r>
              <w:rPr>
                <w:rFonts w:hint="eastAsia" w:ascii="宋体" w:hAnsi="宋体" w:eastAsia="宋体" w:cs="宋体"/>
                <w:b/>
                <w:bCs w:val="0"/>
                <w:color w:val="000000" w:themeColor="text1"/>
                <w:kern w:val="2"/>
                <w:sz w:val="24"/>
                <w:szCs w:val="24"/>
                <w:lang w:val="en-US" w:eastAsia="zh" w:bidi="ar"/>
                <w14:textFill>
                  <w14:solidFill>
                    <w14:schemeClr w14:val="tx1"/>
                  </w14:solidFill>
                </w14:textFill>
                <w:woUserID w:val="7"/>
              </w:rPr>
              <w:t>其他</w:t>
            </w:r>
            <w:r>
              <w:rPr>
                <w:rFonts w:hint="eastAsia" w:ascii="宋体" w:hAnsi="宋体" w:eastAsia="宋体" w:cs="宋体"/>
                <w:b/>
                <w:bCs w:val="0"/>
                <w:color w:val="000000" w:themeColor="text1"/>
                <w:kern w:val="2"/>
                <w:sz w:val="24"/>
                <w:szCs w:val="24"/>
                <w:lang w:val="en-US" w:eastAsia="zh-CN" w:bidi="ar"/>
                <w14:textFill>
                  <w14:solidFill>
                    <w14:schemeClr w14:val="tx1"/>
                  </w14:solidFill>
                </w14:textFill>
                <w:woUserID w:val="7"/>
              </w:rPr>
              <w:t>专案管理</w:t>
            </w:r>
          </w:p>
          <w:p w14:paraId="3498C828">
            <w:pPr>
              <w:pageBreakBefore w:val="0"/>
              <w:kinsoku/>
              <w:wordWrap/>
              <w:overflowPunct/>
              <w:topLinePunct w:val="0"/>
              <w:autoSpaceDE/>
              <w:autoSpaceDN/>
              <w:bidi w:val="0"/>
              <w:spacing w:line="240" w:lineRule="auto"/>
              <w:ind w:left="0" w:leftChars="0" w:firstLine="0" w:firstLineChars="0"/>
              <w:rPr>
                <w:rFonts w:hint="eastAsia" w:ascii="宋体" w:hAnsi="宋体" w:eastAsia="宋体" w:cs="宋体"/>
                <w:color w:val="000000" w:themeColor="text1"/>
                <w:kern w:val="0"/>
                <w:sz w:val="24"/>
                <w:szCs w:val="24"/>
                <w14:textFill>
                  <w14:solidFill>
                    <w14:schemeClr w14:val="tx1"/>
                  </w14:solidFill>
                </w14:textFill>
              </w:rPr>
            </w:pPr>
          </w:p>
        </w:tc>
        <w:tc>
          <w:tcPr>
            <w:tcW w:w="6165" w:type="dxa"/>
          </w:tcPr>
          <w:p w14:paraId="38302B6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情绪障碍儿童专案管理</w:t>
            </w:r>
          </w:p>
          <w:p w14:paraId="1CA7224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抽动障碍专案管理</w:t>
            </w:r>
          </w:p>
          <w:p w14:paraId="0D8B6D5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注意力多动障碍专案管理</w:t>
            </w:r>
          </w:p>
          <w:p w14:paraId="39B488F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小胎龄儿专案管理</w:t>
            </w:r>
          </w:p>
          <w:p w14:paraId="34FD5DF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低出生体重儿专案管理</w:t>
            </w:r>
          </w:p>
          <w:p w14:paraId="16F013E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早产儿专案管理</w:t>
            </w:r>
          </w:p>
          <w:p w14:paraId="7E7710B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中医辨识专案</w:t>
            </w:r>
          </w:p>
        </w:tc>
      </w:tr>
      <w:tr w14:paraId="1F57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8553125">
            <w:pPr>
              <w:pStyle w:val="189"/>
              <w:pageBreakBefore w:val="0"/>
              <w:numPr>
                <w:ilvl w:val="0"/>
                <w:numId w:val="0"/>
              </w:numPr>
              <w:kinsoku/>
              <w:wordWrap/>
              <w:overflowPunct/>
              <w:topLinePunct w:val="0"/>
              <w:autoSpaceDE/>
              <w:autoSpaceDN/>
              <w:bidi w:val="0"/>
              <w:ind w:left="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7</w:t>
            </w:r>
          </w:p>
        </w:tc>
        <w:tc>
          <w:tcPr>
            <w:tcW w:w="1701" w:type="dxa"/>
          </w:tcPr>
          <w:p w14:paraId="0DCF11D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疾病自动识别</w:t>
            </w:r>
          </w:p>
        </w:tc>
        <w:tc>
          <w:tcPr>
            <w:tcW w:w="6165" w:type="dxa"/>
          </w:tcPr>
          <w:p w14:paraId="5BEC9D3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根据营养性疾病的管理要求，自动识别营养性疾病，提示医生进行相应专案管理登记。</w:t>
            </w:r>
          </w:p>
        </w:tc>
      </w:tr>
      <w:tr w14:paraId="764CB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35CFD57">
            <w:pPr>
              <w:pStyle w:val="189"/>
              <w:pageBreakBefore w:val="0"/>
              <w:numPr>
                <w:ilvl w:val="0"/>
                <w:numId w:val="0"/>
              </w:numPr>
              <w:kinsoku/>
              <w:wordWrap/>
              <w:overflowPunct/>
              <w:topLinePunct w:val="0"/>
              <w:autoSpaceDE/>
              <w:autoSpaceDN/>
              <w:bidi w:val="0"/>
              <w:ind w:left="0" w:leftChars="0" w:firstLine="240" w:firstLineChars="100"/>
              <w:jc w:val="both"/>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8</w:t>
            </w:r>
          </w:p>
        </w:tc>
        <w:tc>
          <w:tcPr>
            <w:tcW w:w="1701" w:type="dxa"/>
          </w:tcPr>
          <w:p w14:paraId="216FA56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个性指标监测</w:t>
            </w:r>
          </w:p>
        </w:tc>
        <w:tc>
          <w:tcPr>
            <w:tcW w:w="6165" w:type="dxa"/>
          </w:tcPr>
          <w:p w14:paraId="5329667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支持不同专案的个性指标监测，可根据科室要求调整。</w:t>
            </w:r>
          </w:p>
        </w:tc>
      </w:tr>
      <w:tr w14:paraId="0E62F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78BC102F">
            <w:pPr>
              <w:pStyle w:val="189"/>
              <w:pageBreakBefore w:val="0"/>
              <w:numPr>
                <w:ilvl w:val="0"/>
                <w:numId w:val="0"/>
              </w:numPr>
              <w:kinsoku/>
              <w:wordWrap/>
              <w:overflowPunct/>
              <w:topLinePunct w:val="0"/>
              <w:autoSpaceDE/>
              <w:autoSpaceDN/>
              <w:bidi w:val="0"/>
              <w:ind w:left="0" w:firstLine="240" w:firstLineChars="100"/>
              <w:jc w:val="both"/>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9</w:t>
            </w:r>
          </w:p>
        </w:tc>
        <w:tc>
          <w:tcPr>
            <w:tcW w:w="1701" w:type="dxa"/>
          </w:tcPr>
          <w:p w14:paraId="61C5C69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高危儿门诊</w:t>
            </w:r>
          </w:p>
        </w:tc>
        <w:tc>
          <w:tcPr>
            <w:tcW w:w="6165" w:type="dxa"/>
          </w:tcPr>
          <w:p w14:paraId="7B60A83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待诊/已诊列表</w:t>
            </w:r>
          </w:p>
          <w:p w14:paraId="4622D8A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列表显示前来门诊的儿童名单。选择儿童进入门诊接诊功能。</w:t>
            </w:r>
          </w:p>
          <w:p w14:paraId="41DEEE1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生长发育速率评估指导</w:t>
            </w:r>
          </w:p>
          <w:p w14:paraId="205FC2C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记录儿童身高、体重值，并给出标准值、相比上次的变化值、此次测量值的评价。自动算出BMI值，给出身高别体重评价。根据测量结果自动给出营养评价。</w:t>
            </w:r>
          </w:p>
          <w:p w14:paraId="14BFA2B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生长发育监测曲线</w:t>
            </w:r>
          </w:p>
          <w:p w14:paraId="16D1DAD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记录儿童身高、体重值，并给出标准值、相比上次的变化值、此次测量值的评价。自动算出BMI值，给出身高别体重评价。根据测量结果自动给出营养评价。</w:t>
            </w:r>
          </w:p>
          <w:p w14:paraId="0BC6135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专项检查</w:t>
            </w:r>
          </w:p>
          <w:p w14:paraId="48E1069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记录本次检查值——喂养情况，身高、体重、头围等测查情况，面色、皮肤、头颅等的体格检查情况，发育监测，辅助检查结果等。 支持自动加载测量测评结果，支持模板录入和一键填充。 支持按月龄配置体检项目，支持月龄自动计算和早产儿月龄矫正。 支持从疾病库选择诊断，支持根据诊断结果提醒专案管理并登记</w:t>
            </w:r>
          </w:p>
          <w:p w14:paraId="7BC7813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量表测评</w:t>
            </w:r>
          </w:p>
          <w:p w14:paraId="2FB5D09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神经运动、智能发育、脑瘫筛查等高危儿相关量表供医生选择。医生可在此对该儿童进行测评。支持查看儿童全部测评结果。</w:t>
            </w:r>
          </w:p>
          <w:p w14:paraId="6D0FD2A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专案记录</w:t>
            </w:r>
          </w:p>
          <w:p w14:paraId="1311011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专案管理记录、个人基本信息，记录高危儿的问诊情况（主诉与症状、病史）、检查情况（症状与体征、辅助检查结果），填写针对高危儿的干预及指导意见。支持自动回填早期发展门诊体检记录</w:t>
            </w:r>
          </w:p>
        </w:tc>
      </w:tr>
      <w:tr w14:paraId="2E2EE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tcPr>
          <w:p w14:paraId="0599E927">
            <w:pPr>
              <w:pStyle w:val="189"/>
              <w:pageBreakBefore w:val="0"/>
              <w:numPr>
                <w:ilvl w:val="0"/>
                <w:numId w:val="0"/>
              </w:numPr>
              <w:kinsoku/>
              <w:wordWrap/>
              <w:overflowPunct/>
              <w:topLinePunct w:val="0"/>
              <w:autoSpaceDE/>
              <w:autoSpaceDN/>
              <w:bidi w:val="0"/>
              <w:ind w:left="0" w:firstLine="240" w:firstLineChars="100"/>
              <w:jc w:val="both"/>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10</w:t>
            </w:r>
          </w:p>
        </w:tc>
        <w:tc>
          <w:tcPr>
            <w:tcW w:w="1701" w:type="dxa"/>
          </w:tcPr>
          <w:p w14:paraId="7C9233C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智能随访</w:t>
            </w:r>
          </w:p>
        </w:tc>
        <w:tc>
          <w:tcPr>
            <w:tcW w:w="6165" w:type="dxa"/>
          </w:tcPr>
          <w:p w14:paraId="0FD9B62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根据下次随访时间自动通过微信发送提醒</w:t>
            </w:r>
          </w:p>
        </w:tc>
      </w:tr>
    </w:tbl>
    <w:tbl>
      <w:tblPr>
        <w:tblStyle w:val="47"/>
        <w:tblpPr w:leftFromText="180" w:rightFromText="180" w:vertAnchor="text" w:horzAnchor="page" w:tblpX="1771" w:tblpY="468"/>
        <w:tblOverlap w:val="never"/>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612"/>
        <w:gridCol w:w="5972"/>
      </w:tblGrid>
      <w:tr w14:paraId="076ED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8C3A345">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bookmarkStart w:id="10" w:name="_Toc72310898"/>
            <w:bookmarkStart w:id="11" w:name="_Toc1395302418"/>
            <w:r>
              <w:rPr>
                <w:rFonts w:hint="eastAsia" w:ascii="宋体" w:hAnsi="宋体" w:eastAsia="宋体" w:cs="宋体"/>
                <w:color w:val="000000" w:themeColor="text1"/>
                <w:kern w:val="0"/>
                <w:sz w:val="24"/>
                <w:szCs w:val="24"/>
                <w14:textFill>
                  <w14:solidFill>
                    <w14:schemeClr w14:val="tx1"/>
                  </w14:solidFill>
                </w14:textFill>
              </w:rPr>
              <w:t>序号</w:t>
            </w:r>
          </w:p>
        </w:tc>
        <w:tc>
          <w:tcPr>
            <w:tcW w:w="1612" w:type="dxa"/>
            <w:vAlign w:val="center"/>
          </w:tcPr>
          <w:p w14:paraId="2555513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类别</w:t>
            </w:r>
          </w:p>
        </w:tc>
        <w:tc>
          <w:tcPr>
            <w:tcW w:w="5972" w:type="dxa"/>
            <w:vAlign w:val="center"/>
          </w:tcPr>
          <w:p w14:paraId="26231013">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测评量表名称</w:t>
            </w:r>
          </w:p>
        </w:tc>
      </w:tr>
      <w:tr w14:paraId="05B7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57DC03D">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w:t>
            </w:r>
          </w:p>
        </w:tc>
        <w:tc>
          <w:tcPr>
            <w:tcW w:w="1612" w:type="dxa"/>
            <w:vMerge w:val="restart"/>
            <w:vAlign w:val="center"/>
          </w:tcPr>
          <w:p w14:paraId="08532E8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生长发育</w:t>
            </w:r>
          </w:p>
        </w:tc>
        <w:tc>
          <w:tcPr>
            <w:tcW w:w="5972" w:type="dxa"/>
            <w:vAlign w:val="center"/>
          </w:tcPr>
          <w:p w14:paraId="5021587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生长发育速率评估指导</w:t>
            </w:r>
          </w:p>
        </w:tc>
      </w:tr>
      <w:tr w14:paraId="785B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C0075D0">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w:t>
            </w:r>
          </w:p>
        </w:tc>
        <w:tc>
          <w:tcPr>
            <w:tcW w:w="1612" w:type="dxa"/>
            <w:vMerge w:val="continue"/>
            <w:vAlign w:val="center"/>
          </w:tcPr>
          <w:p w14:paraId="64D0551C">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CABE32F">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儿童骨龄评估及身高预测</w:t>
            </w:r>
          </w:p>
        </w:tc>
      </w:tr>
      <w:tr w14:paraId="187E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F48DD0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w:t>
            </w:r>
          </w:p>
        </w:tc>
        <w:tc>
          <w:tcPr>
            <w:tcW w:w="1612" w:type="dxa"/>
            <w:vMerge w:val="continue"/>
            <w:vAlign w:val="center"/>
          </w:tcPr>
          <w:p w14:paraId="58D2AF3F">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147795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骨密度评估（BMD）</w:t>
            </w:r>
          </w:p>
        </w:tc>
      </w:tr>
      <w:tr w14:paraId="0C51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FAD448B">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w:t>
            </w:r>
          </w:p>
        </w:tc>
        <w:tc>
          <w:tcPr>
            <w:tcW w:w="1612" w:type="dxa"/>
            <w:vMerge w:val="restart"/>
            <w:vAlign w:val="center"/>
          </w:tcPr>
          <w:p w14:paraId="19C71FF0">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营养喂养</w:t>
            </w:r>
          </w:p>
        </w:tc>
        <w:tc>
          <w:tcPr>
            <w:tcW w:w="5972" w:type="dxa"/>
            <w:vAlign w:val="center"/>
          </w:tcPr>
          <w:p w14:paraId="01B5E5A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婴儿牛奶蛋白过敏相关症状评分</w:t>
            </w:r>
          </w:p>
        </w:tc>
      </w:tr>
      <w:tr w14:paraId="4C5C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5C11726">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w:t>
            </w:r>
          </w:p>
        </w:tc>
        <w:tc>
          <w:tcPr>
            <w:tcW w:w="1612" w:type="dxa"/>
            <w:vMerge w:val="continue"/>
            <w:vAlign w:val="center"/>
          </w:tcPr>
          <w:p w14:paraId="5F5D9C3C">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3EE4F99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婴儿过敏风险评估（婴儿期测试）</w:t>
            </w:r>
          </w:p>
        </w:tc>
      </w:tr>
      <w:tr w14:paraId="6FE00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FAEED0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w:t>
            </w:r>
          </w:p>
        </w:tc>
        <w:tc>
          <w:tcPr>
            <w:tcW w:w="1612" w:type="dxa"/>
            <w:vMerge w:val="continue"/>
            <w:vAlign w:val="center"/>
          </w:tcPr>
          <w:p w14:paraId="548159F4">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FEBDAC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婴幼儿喂养困难评估（MCH-FS）</w:t>
            </w:r>
          </w:p>
        </w:tc>
      </w:tr>
      <w:tr w14:paraId="2F379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A0BC1B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7</w:t>
            </w:r>
          </w:p>
        </w:tc>
        <w:tc>
          <w:tcPr>
            <w:tcW w:w="1612" w:type="dxa"/>
            <w:vMerge w:val="continue"/>
            <w:vAlign w:val="center"/>
          </w:tcPr>
          <w:p w14:paraId="09096A05">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350CD7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母乳喂养评估</w:t>
            </w:r>
          </w:p>
        </w:tc>
      </w:tr>
      <w:tr w14:paraId="22A32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BD3DBC8">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8</w:t>
            </w:r>
          </w:p>
        </w:tc>
        <w:tc>
          <w:tcPr>
            <w:tcW w:w="1612" w:type="dxa"/>
            <w:vMerge w:val="continue"/>
            <w:vAlign w:val="center"/>
          </w:tcPr>
          <w:p w14:paraId="7C333BA0">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3E6385A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喂养行为评估</w:t>
            </w:r>
          </w:p>
        </w:tc>
      </w:tr>
      <w:tr w14:paraId="241B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0514518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9</w:t>
            </w:r>
          </w:p>
        </w:tc>
        <w:tc>
          <w:tcPr>
            <w:tcW w:w="1612" w:type="dxa"/>
            <w:vMerge w:val="restart"/>
            <w:vAlign w:val="center"/>
          </w:tcPr>
          <w:p w14:paraId="017D4F62">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睡眠评估</w:t>
            </w:r>
          </w:p>
        </w:tc>
        <w:tc>
          <w:tcPr>
            <w:tcW w:w="5972" w:type="dxa"/>
            <w:vAlign w:val="center"/>
          </w:tcPr>
          <w:p w14:paraId="3447F02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儿童睡眠习惯问卷（CSHQ）</w:t>
            </w:r>
          </w:p>
        </w:tc>
      </w:tr>
      <w:tr w14:paraId="4C7B6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FBE0CB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10</w:t>
            </w:r>
          </w:p>
        </w:tc>
        <w:tc>
          <w:tcPr>
            <w:tcW w:w="1612" w:type="dxa"/>
            <w:vMerge w:val="continue"/>
            <w:vAlign w:val="center"/>
          </w:tcPr>
          <w:p w14:paraId="2C3A133F">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715736F">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简明婴幼儿睡眠评估问卷</w:t>
            </w:r>
          </w:p>
        </w:tc>
      </w:tr>
      <w:tr w14:paraId="2E280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A3EBCD9">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11</w:t>
            </w:r>
          </w:p>
        </w:tc>
        <w:tc>
          <w:tcPr>
            <w:tcW w:w="1612" w:type="dxa"/>
            <w:vMerge w:val="restart"/>
            <w:vAlign w:val="center"/>
          </w:tcPr>
          <w:p w14:paraId="0999F655">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神经运动</w:t>
            </w:r>
          </w:p>
        </w:tc>
        <w:tc>
          <w:tcPr>
            <w:tcW w:w="5972" w:type="dxa"/>
            <w:vAlign w:val="center"/>
          </w:tcPr>
          <w:p w14:paraId="1F60C05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新生儿20项行为神经测查（NBNA）</w:t>
            </w:r>
          </w:p>
        </w:tc>
      </w:tr>
      <w:tr w14:paraId="4D2CB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14D9DB0">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12</w:t>
            </w:r>
          </w:p>
        </w:tc>
        <w:tc>
          <w:tcPr>
            <w:tcW w:w="1612" w:type="dxa"/>
            <w:vMerge w:val="continue"/>
            <w:vAlign w:val="center"/>
          </w:tcPr>
          <w:p w14:paraId="6879DE1A">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AD903F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0~1岁神经运动检查20项</w:t>
            </w:r>
          </w:p>
        </w:tc>
      </w:tr>
      <w:tr w14:paraId="29AC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CE2205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13</w:t>
            </w:r>
          </w:p>
        </w:tc>
        <w:tc>
          <w:tcPr>
            <w:tcW w:w="1612" w:type="dxa"/>
            <w:vMerge w:val="continue"/>
            <w:vAlign w:val="center"/>
          </w:tcPr>
          <w:p w14:paraId="0694CD7D">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2B2B137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高危儿脑五项筛查</w:t>
            </w:r>
          </w:p>
        </w:tc>
      </w:tr>
      <w:tr w14:paraId="5D8CD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F5B8FE5">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14</w:t>
            </w:r>
          </w:p>
        </w:tc>
        <w:tc>
          <w:tcPr>
            <w:tcW w:w="1612" w:type="dxa"/>
            <w:vMerge w:val="continue"/>
            <w:vAlign w:val="center"/>
          </w:tcPr>
          <w:p w14:paraId="0166B3B0">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539F1B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全身运动评估（GMs）</w:t>
            </w:r>
          </w:p>
        </w:tc>
      </w:tr>
      <w:tr w14:paraId="51845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862DF5F">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15</w:t>
            </w:r>
          </w:p>
        </w:tc>
        <w:tc>
          <w:tcPr>
            <w:tcW w:w="1612" w:type="dxa"/>
            <w:vMerge w:val="continue"/>
            <w:vAlign w:val="center"/>
          </w:tcPr>
          <w:p w14:paraId="706BE871">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DAE8DA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Peabody运动发育量表（PDMS-2）</w:t>
            </w:r>
          </w:p>
        </w:tc>
      </w:tr>
      <w:tr w14:paraId="6917B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716CB16">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16</w:t>
            </w:r>
          </w:p>
        </w:tc>
        <w:tc>
          <w:tcPr>
            <w:tcW w:w="1612" w:type="dxa"/>
            <w:vMerge w:val="restart"/>
            <w:vAlign w:val="center"/>
          </w:tcPr>
          <w:p w14:paraId="7DA40780">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语言发展</w:t>
            </w:r>
          </w:p>
        </w:tc>
        <w:tc>
          <w:tcPr>
            <w:tcW w:w="5972" w:type="dxa"/>
            <w:vAlign w:val="center"/>
          </w:tcPr>
          <w:p w14:paraId="666CD06E">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沟通和象征行为发展量表幼儿问卷（ITC）</w:t>
            </w:r>
          </w:p>
        </w:tc>
      </w:tr>
      <w:tr w14:paraId="383D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E33978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17</w:t>
            </w:r>
          </w:p>
        </w:tc>
        <w:tc>
          <w:tcPr>
            <w:tcW w:w="1612" w:type="dxa"/>
            <w:vMerge w:val="continue"/>
            <w:vAlign w:val="center"/>
          </w:tcPr>
          <w:p w14:paraId="4F54BDC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758ED9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图片词汇测试（PPVT）</w:t>
            </w:r>
          </w:p>
        </w:tc>
      </w:tr>
      <w:tr w14:paraId="70BE2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3F3E34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18</w:t>
            </w:r>
          </w:p>
        </w:tc>
        <w:tc>
          <w:tcPr>
            <w:tcW w:w="1612" w:type="dxa"/>
            <w:vMerge w:val="continue"/>
            <w:vAlign w:val="center"/>
          </w:tcPr>
          <w:p w14:paraId="6E49884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51108A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早期语言发展进程量表</w:t>
            </w:r>
          </w:p>
        </w:tc>
      </w:tr>
      <w:tr w14:paraId="5647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5DEBEB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19</w:t>
            </w:r>
          </w:p>
        </w:tc>
        <w:tc>
          <w:tcPr>
            <w:tcW w:w="1612" w:type="dxa"/>
            <w:vMerge w:val="restart"/>
            <w:vAlign w:val="center"/>
          </w:tcPr>
          <w:p w14:paraId="0BB944CE">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智力测验</w:t>
            </w:r>
          </w:p>
        </w:tc>
        <w:tc>
          <w:tcPr>
            <w:tcW w:w="5972" w:type="dxa"/>
            <w:vAlign w:val="center"/>
          </w:tcPr>
          <w:p w14:paraId="4FE99C8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0~3岁婴幼儿发育量表（CDCC）</w:t>
            </w:r>
          </w:p>
        </w:tc>
      </w:tr>
      <w:tr w14:paraId="1818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18C7EC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20</w:t>
            </w:r>
          </w:p>
        </w:tc>
        <w:tc>
          <w:tcPr>
            <w:tcW w:w="1612" w:type="dxa"/>
            <w:vMerge w:val="continue"/>
            <w:vAlign w:val="center"/>
          </w:tcPr>
          <w:p w14:paraId="4DA95338">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A168A2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麦卡锡儿童能力量表</w:t>
            </w:r>
          </w:p>
        </w:tc>
      </w:tr>
      <w:tr w14:paraId="626B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538FF7B">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21</w:t>
            </w:r>
          </w:p>
        </w:tc>
        <w:tc>
          <w:tcPr>
            <w:tcW w:w="1612" w:type="dxa"/>
            <w:vMerge w:val="continue"/>
            <w:vAlign w:val="center"/>
          </w:tcPr>
          <w:p w14:paraId="52DBFF24">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66CAB3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0-6岁发育问题预警征象筛查</w:t>
            </w:r>
          </w:p>
        </w:tc>
      </w:tr>
      <w:tr w14:paraId="5365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3824D64">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22</w:t>
            </w:r>
          </w:p>
        </w:tc>
        <w:tc>
          <w:tcPr>
            <w:tcW w:w="1612" w:type="dxa"/>
            <w:vMerge w:val="continue"/>
            <w:vAlign w:val="center"/>
          </w:tcPr>
          <w:p w14:paraId="350D83DC">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2D56295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瑞文联合测试（CRT）</w:t>
            </w:r>
          </w:p>
        </w:tc>
      </w:tr>
      <w:tr w14:paraId="6EA58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003C5220">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23</w:t>
            </w:r>
          </w:p>
        </w:tc>
        <w:tc>
          <w:tcPr>
            <w:tcW w:w="1612" w:type="dxa"/>
            <w:vMerge w:val="continue"/>
            <w:vAlign w:val="center"/>
          </w:tcPr>
          <w:p w14:paraId="30CD0A73">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0C3C7C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丹佛发育筛查（DDST）</w:t>
            </w:r>
          </w:p>
        </w:tc>
      </w:tr>
      <w:tr w14:paraId="627AC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8BEE245">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24</w:t>
            </w:r>
          </w:p>
        </w:tc>
        <w:tc>
          <w:tcPr>
            <w:tcW w:w="1612" w:type="dxa"/>
            <w:vMerge w:val="continue"/>
            <w:vAlign w:val="center"/>
          </w:tcPr>
          <w:p w14:paraId="41D96102">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EE93A8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0~6岁儿童发育行为评估量表（儿心）</w:t>
            </w:r>
          </w:p>
        </w:tc>
      </w:tr>
      <w:tr w14:paraId="5D60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600314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25</w:t>
            </w:r>
          </w:p>
        </w:tc>
        <w:tc>
          <w:tcPr>
            <w:tcW w:w="1612" w:type="dxa"/>
            <w:vMerge w:val="continue"/>
            <w:vAlign w:val="center"/>
          </w:tcPr>
          <w:p w14:paraId="204A2AE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3D8ED8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0~6岁儿童神经心理发育量表（儿心-II）</w:t>
            </w:r>
          </w:p>
        </w:tc>
      </w:tr>
      <w:tr w14:paraId="4981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F0110A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26</w:t>
            </w:r>
          </w:p>
        </w:tc>
        <w:tc>
          <w:tcPr>
            <w:tcW w:w="1612" w:type="dxa"/>
            <w:vMerge w:val="continue"/>
            <w:vAlign w:val="center"/>
          </w:tcPr>
          <w:p w14:paraId="79ADAF89">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BB6D96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0~6岁发育筛查测验（DST）</w:t>
            </w:r>
          </w:p>
        </w:tc>
      </w:tr>
      <w:tr w14:paraId="520D6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692DD16">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27</w:t>
            </w:r>
          </w:p>
        </w:tc>
        <w:tc>
          <w:tcPr>
            <w:tcW w:w="1612" w:type="dxa"/>
            <w:vMerge w:val="continue"/>
            <w:vAlign w:val="center"/>
          </w:tcPr>
          <w:p w14:paraId="168DE6FC">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4179D5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Gesell发育诊断量表（GDS）</w:t>
            </w:r>
          </w:p>
        </w:tc>
      </w:tr>
      <w:tr w14:paraId="02D8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F6EEA94">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28</w:t>
            </w:r>
          </w:p>
        </w:tc>
        <w:tc>
          <w:tcPr>
            <w:tcW w:w="1612" w:type="dxa"/>
            <w:vMerge w:val="continue"/>
            <w:vAlign w:val="center"/>
          </w:tcPr>
          <w:p w14:paraId="06D56105">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6B81E6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中国韦氏幼儿智力量表（C-WYCSI）</w:t>
            </w:r>
          </w:p>
        </w:tc>
      </w:tr>
      <w:tr w14:paraId="7CF0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 w:hRule="atLeast"/>
        </w:trPr>
        <w:tc>
          <w:tcPr>
            <w:tcW w:w="936" w:type="dxa"/>
            <w:vAlign w:val="center"/>
          </w:tcPr>
          <w:p w14:paraId="01CF1EB7">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29</w:t>
            </w:r>
          </w:p>
        </w:tc>
        <w:tc>
          <w:tcPr>
            <w:tcW w:w="1612" w:type="dxa"/>
            <w:vMerge w:val="continue"/>
            <w:vAlign w:val="center"/>
          </w:tcPr>
          <w:p w14:paraId="751C5803">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51D601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中国韦氏儿童智力量表（C-WISC）</w:t>
            </w:r>
          </w:p>
        </w:tc>
      </w:tr>
      <w:tr w14:paraId="3C766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97D60FF">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30</w:t>
            </w:r>
          </w:p>
        </w:tc>
        <w:tc>
          <w:tcPr>
            <w:tcW w:w="1612" w:type="dxa"/>
            <w:vMerge w:val="restart"/>
            <w:vAlign w:val="center"/>
          </w:tcPr>
          <w:p w14:paraId="15A0BC44">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行为评估</w:t>
            </w:r>
          </w:p>
        </w:tc>
        <w:tc>
          <w:tcPr>
            <w:tcW w:w="5972" w:type="dxa"/>
            <w:vAlign w:val="center"/>
          </w:tcPr>
          <w:p w14:paraId="55C01D6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修订的幼儿孤独症量表（CHAT-23）</w:t>
            </w:r>
          </w:p>
        </w:tc>
      </w:tr>
      <w:tr w14:paraId="628E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05F0427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31</w:t>
            </w:r>
          </w:p>
        </w:tc>
        <w:tc>
          <w:tcPr>
            <w:tcW w:w="1612" w:type="dxa"/>
            <w:vMerge w:val="continue"/>
            <w:vAlign w:val="center"/>
          </w:tcPr>
          <w:p w14:paraId="74322F74">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346889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克氏孤独症行为量表（CABS）</w:t>
            </w:r>
          </w:p>
        </w:tc>
      </w:tr>
      <w:tr w14:paraId="33A89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BB59C5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32</w:t>
            </w:r>
          </w:p>
        </w:tc>
        <w:tc>
          <w:tcPr>
            <w:tcW w:w="1612" w:type="dxa"/>
            <w:vMerge w:val="continue"/>
            <w:vAlign w:val="center"/>
          </w:tcPr>
          <w:p w14:paraId="042C4598">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E1ACE4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修正的幼儿自闭症检查表（M-CHAT）</w:t>
            </w:r>
          </w:p>
        </w:tc>
      </w:tr>
      <w:tr w14:paraId="319E3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6739DBB">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33</w:t>
            </w:r>
          </w:p>
        </w:tc>
        <w:tc>
          <w:tcPr>
            <w:tcW w:w="1612" w:type="dxa"/>
            <w:vMerge w:val="continue"/>
            <w:vAlign w:val="center"/>
          </w:tcPr>
          <w:p w14:paraId="0F445D10">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BB4428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孤独症行为评定量表（ABC）</w:t>
            </w:r>
          </w:p>
        </w:tc>
      </w:tr>
      <w:tr w14:paraId="72508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6" w:type="dxa"/>
            <w:vAlign w:val="center"/>
          </w:tcPr>
          <w:p w14:paraId="78ECBFF4">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34</w:t>
            </w:r>
          </w:p>
        </w:tc>
        <w:tc>
          <w:tcPr>
            <w:tcW w:w="1612" w:type="dxa"/>
            <w:vMerge w:val="continue"/>
            <w:vAlign w:val="center"/>
          </w:tcPr>
          <w:p w14:paraId="6D9A319E">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B76D70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儿童期孤独症评定量表（CARS）</w:t>
            </w:r>
          </w:p>
        </w:tc>
      </w:tr>
      <w:tr w14:paraId="18EE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388B3D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35</w:t>
            </w:r>
          </w:p>
        </w:tc>
        <w:tc>
          <w:tcPr>
            <w:tcW w:w="1612" w:type="dxa"/>
            <w:vMerge w:val="continue"/>
            <w:vAlign w:val="center"/>
          </w:tcPr>
          <w:p w14:paraId="4A4475FE">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F8A3A4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Rutter儿童行为问卷（父母）</w:t>
            </w:r>
          </w:p>
        </w:tc>
      </w:tr>
      <w:tr w14:paraId="323E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121AE34">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36</w:t>
            </w:r>
          </w:p>
        </w:tc>
        <w:tc>
          <w:tcPr>
            <w:tcW w:w="1612" w:type="dxa"/>
            <w:vMerge w:val="continue"/>
            <w:vAlign w:val="center"/>
          </w:tcPr>
          <w:p w14:paraId="72F27A31">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244B370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Conners父母症状问卷（PSQ）</w:t>
            </w:r>
          </w:p>
        </w:tc>
      </w:tr>
      <w:tr w14:paraId="511D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5F3852D">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37</w:t>
            </w:r>
          </w:p>
        </w:tc>
        <w:tc>
          <w:tcPr>
            <w:tcW w:w="1612" w:type="dxa"/>
            <w:vMerge w:val="continue"/>
            <w:vAlign w:val="center"/>
          </w:tcPr>
          <w:p w14:paraId="7916EA48">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A17AE6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Achenbach儿童行为量表（CBCL）</w:t>
            </w:r>
          </w:p>
        </w:tc>
      </w:tr>
      <w:tr w14:paraId="70B7A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7AA68A4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38</w:t>
            </w:r>
          </w:p>
        </w:tc>
        <w:tc>
          <w:tcPr>
            <w:tcW w:w="1612" w:type="dxa"/>
            <w:vMerge w:val="continue"/>
            <w:vAlign w:val="center"/>
          </w:tcPr>
          <w:p w14:paraId="1CC5B52A">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E2702B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Weiss功能缺陷量表（WFIRS-P）</w:t>
            </w:r>
          </w:p>
        </w:tc>
      </w:tr>
      <w:tr w14:paraId="2A3D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6690F8A4">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39</w:t>
            </w:r>
          </w:p>
        </w:tc>
        <w:tc>
          <w:tcPr>
            <w:tcW w:w="1612" w:type="dxa"/>
            <w:vMerge w:val="continue"/>
            <w:vAlign w:val="center"/>
          </w:tcPr>
          <w:p w14:paraId="7C8AC2A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B618BB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SNAP-Ⅳ评定量表（18项）</w:t>
            </w:r>
          </w:p>
        </w:tc>
      </w:tr>
      <w:tr w14:paraId="7EC9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D37C15F">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40</w:t>
            </w:r>
          </w:p>
        </w:tc>
        <w:tc>
          <w:tcPr>
            <w:tcW w:w="1612" w:type="dxa"/>
            <w:vMerge w:val="continue"/>
            <w:vAlign w:val="center"/>
          </w:tcPr>
          <w:p w14:paraId="6F03357B">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09765B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SNAP-Ⅳ评定量表（26项）</w:t>
            </w:r>
          </w:p>
        </w:tc>
      </w:tr>
      <w:tr w14:paraId="5507D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29A37AB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41</w:t>
            </w:r>
          </w:p>
        </w:tc>
        <w:tc>
          <w:tcPr>
            <w:tcW w:w="1612" w:type="dxa"/>
            <w:vMerge w:val="continue"/>
            <w:vAlign w:val="center"/>
          </w:tcPr>
          <w:p w14:paraId="014AD8EE">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30117C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DSM-5 ADHD诊断标准</w:t>
            </w:r>
          </w:p>
        </w:tc>
      </w:tr>
      <w:tr w14:paraId="1855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2945E8A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42</w:t>
            </w:r>
          </w:p>
        </w:tc>
        <w:tc>
          <w:tcPr>
            <w:tcW w:w="1612" w:type="dxa"/>
            <w:vMerge w:val="continue"/>
            <w:vAlign w:val="center"/>
          </w:tcPr>
          <w:p w14:paraId="62CA880C">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5B32ED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DSM-5 ASD 诊断标准</w:t>
            </w:r>
          </w:p>
        </w:tc>
      </w:tr>
      <w:tr w14:paraId="21B18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3BE75ED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43</w:t>
            </w:r>
          </w:p>
        </w:tc>
        <w:tc>
          <w:tcPr>
            <w:tcW w:w="1612" w:type="dxa"/>
            <w:vMerge w:val="continue"/>
            <w:vAlign w:val="center"/>
          </w:tcPr>
          <w:p w14:paraId="36D72D61">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07C049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ADHD父母评定量表</w:t>
            </w:r>
          </w:p>
        </w:tc>
      </w:tr>
      <w:tr w14:paraId="24DB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1199367E">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44</w:t>
            </w:r>
          </w:p>
        </w:tc>
        <w:tc>
          <w:tcPr>
            <w:tcW w:w="1612" w:type="dxa"/>
            <w:vMerge w:val="continue"/>
            <w:vAlign w:val="center"/>
          </w:tcPr>
          <w:p w14:paraId="03A841E1">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7C43BF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ADHD教师评定量表</w:t>
            </w:r>
          </w:p>
        </w:tc>
      </w:tr>
      <w:tr w14:paraId="70A56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23A8CF2A">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45</w:t>
            </w:r>
          </w:p>
        </w:tc>
        <w:tc>
          <w:tcPr>
            <w:tcW w:w="1612" w:type="dxa"/>
            <w:vMerge w:val="continue"/>
            <w:vAlign w:val="center"/>
          </w:tcPr>
          <w:p w14:paraId="3FCC060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3EC217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耶鲁综合抽动严重程度量表</w:t>
            </w:r>
          </w:p>
        </w:tc>
      </w:tr>
      <w:tr w14:paraId="6EEA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794FF342">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46</w:t>
            </w:r>
          </w:p>
        </w:tc>
        <w:tc>
          <w:tcPr>
            <w:tcW w:w="1612" w:type="dxa"/>
            <w:vMerge w:val="continue"/>
            <w:vAlign w:val="center"/>
          </w:tcPr>
          <w:p w14:paraId="52816DE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0F6E4A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学习障碍儿童筛查量表 PRS</w:t>
            </w:r>
          </w:p>
        </w:tc>
      </w:tr>
      <w:tr w14:paraId="1410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16C6E5D">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47</w:t>
            </w:r>
          </w:p>
        </w:tc>
        <w:tc>
          <w:tcPr>
            <w:tcW w:w="1612" w:type="dxa"/>
            <w:vMerge w:val="continue"/>
            <w:vAlign w:val="center"/>
          </w:tcPr>
          <w:p w14:paraId="6D5A77F7">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355A9E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抑郁自评</w:t>
            </w:r>
          </w:p>
        </w:tc>
      </w:tr>
      <w:tr w14:paraId="2719C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36" w:type="dxa"/>
            <w:vAlign w:val="center"/>
          </w:tcPr>
          <w:p w14:paraId="0AFFD96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48</w:t>
            </w:r>
          </w:p>
        </w:tc>
        <w:tc>
          <w:tcPr>
            <w:tcW w:w="1612" w:type="dxa"/>
            <w:vMerge w:val="continue"/>
            <w:vAlign w:val="center"/>
          </w:tcPr>
          <w:p w14:paraId="2FE6A8D9">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3AA787E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焦虑自评</w:t>
            </w:r>
          </w:p>
        </w:tc>
      </w:tr>
      <w:tr w14:paraId="1E93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8A272AF">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49</w:t>
            </w:r>
          </w:p>
        </w:tc>
        <w:tc>
          <w:tcPr>
            <w:tcW w:w="1612" w:type="dxa"/>
            <w:vMerge w:val="restart"/>
            <w:vAlign w:val="center"/>
          </w:tcPr>
          <w:p w14:paraId="0AF8F831">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气质社会性</w:t>
            </w:r>
          </w:p>
        </w:tc>
        <w:tc>
          <w:tcPr>
            <w:tcW w:w="5972" w:type="dxa"/>
            <w:vAlign w:val="center"/>
          </w:tcPr>
          <w:p w14:paraId="225F1A7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4-8个月幼儿气质量表</w:t>
            </w:r>
          </w:p>
        </w:tc>
      </w:tr>
      <w:tr w14:paraId="200E6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FE93F38">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50</w:t>
            </w:r>
          </w:p>
        </w:tc>
        <w:tc>
          <w:tcPr>
            <w:tcW w:w="1612" w:type="dxa"/>
            <w:vMerge w:val="continue"/>
            <w:vAlign w:val="center"/>
          </w:tcPr>
          <w:p w14:paraId="17E842E2">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7DA121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1-3岁幼儿气质量表</w:t>
            </w:r>
          </w:p>
        </w:tc>
      </w:tr>
      <w:tr w14:paraId="10E7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1B8E008">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51</w:t>
            </w:r>
          </w:p>
        </w:tc>
        <w:tc>
          <w:tcPr>
            <w:tcW w:w="1612" w:type="dxa"/>
            <w:vMerge w:val="continue"/>
            <w:vAlign w:val="center"/>
          </w:tcPr>
          <w:p w14:paraId="3346922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37DEE52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3-7岁儿童气质问卷</w:t>
            </w:r>
          </w:p>
        </w:tc>
      </w:tr>
      <w:tr w14:paraId="3CD57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9C74DB0">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52</w:t>
            </w:r>
          </w:p>
        </w:tc>
        <w:tc>
          <w:tcPr>
            <w:tcW w:w="1612" w:type="dxa"/>
            <w:vMerge w:val="continue"/>
            <w:vAlign w:val="center"/>
          </w:tcPr>
          <w:p w14:paraId="76A7F00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168A16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8～12岁气质问卷</w:t>
            </w:r>
          </w:p>
        </w:tc>
      </w:tr>
      <w:tr w14:paraId="5559A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993578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53</w:t>
            </w:r>
          </w:p>
        </w:tc>
        <w:tc>
          <w:tcPr>
            <w:tcW w:w="1612" w:type="dxa"/>
            <w:vMerge w:val="continue"/>
            <w:vAlign w:val="center"/>
          </w:tcPr>
          <w:p w14:paraId="626CD3C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8C5222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S-M社会生活能力量表</w:t>
            </w:r>
          </w:p>
        </w:tc>
      </w:tr>
      <w:tr w14:paraId="145B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C053E1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54</w:t>
            </w:r>
          </w:p>
        </w:tc>
        <w:tc>
          <w:tcPr>
            <w:tcW w:w="1612" w:type="dxa"/>
            <w:vMerge w:val="continue"/>
            <w:vAlign w:val="center"/>
          </w:tcPr>
          <w:p w14:paraId="32B00A37">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36DCC01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情绪社会性评估</w:t>
            </w:r>
          </w:p>
        </w:tc>
      </w:tr>
      <w:tr w14:paraId="6E2D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4B443C9">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55</w:t>
            </w:r>
          </w:p>
        </w:tc>
        <w:tc>
          <w:tcPr>
            <w:tcW w:w="1612" w:type="dxa"/>
            <w:vMerge w:val="continue"/>
            <w:vAlign w:val="center"/>
          </w:tcPr>
          <w:p w14:paraId="59BC9D4A">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7F70F5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艾森克个性问卷</w:t>
            </w:r>
          </w:p>
        </w:tc>
      </w:tr>
      <w:tr w14:paraId="0B33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AB28805">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56</w:t>
            </w:r>
          </w:p>
        </w:tc>
        <w:tc>
          <w:tcPr>
            <w:tcW w:w="1612" w:type="dxa"/>
            <w:vMerge w:val="continue"/>
            <w:vAlign w:val="center"/>
          </w:tcPr>
          <w:p w14:paraId="230B8118">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F323E2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症状自评（SCL90）</w:t>
            </w:r>
          </w:p>
        </w:tc>
      </w:tr>
      <w:tr w14:paraId="1CF3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D911D3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57</w:t>
            </w:r>
          </w:p>
        </w:tc>
        <w:tc>
          <w:tcPr>
            <w:tcW w:w="1612" w:type="dxa"/>
            <w:vMerge w:val="restart"/>
            <w:vAlign w:val="center"/>
          </w:tcPr>
          <w:p w14:paraId="1932F414">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养育环境</w:t>
            </w:r>
          </w:p>
        </w:tc>
        <w:tc>
          <w:tcPr>
            <w:tcW w:w="5972" w:type="dxa"/>
            <w:vAlign w:val="center"/>
          </w:tcPr>
          <w:p w14:paraId="63CD6A9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家庭教养方式测评</w:t>
            </w:r>
          </w:p>
        </w:tc>
      </w:tr>
      <w:tr w14:paraId="2836B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964C0BC">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58</w:t>
            </w:r>
          </w:p>
        </w:tc>
        <w:tc>
          <w:tcPr>
            <w:tcW w:w="1612" w:type="dxa"/>
            <w:vMerge w:val="continue"/>
            <w:vAlign w:val="center"/>
          </w:tcPr>
          <w:p w14:paraId="1DB07878">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7B316B5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家庭教养方式问卷FUSQ</w:t>
            </w:r>
          </w:p>
        </w:tc>
      </w:tr>
      <w:tr w14:paraId="5A93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6661E2F">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59</w:t>
            </w:r>
          </w:p>
        </w:tc>
        <w:tc>
          <w:tcPr>
            <w:tcW w:w="1612" w:type="dxa"/>
            <w:vMerge w:val="continue"/>
            <w:vAlign w:val="center"/>
          </w:tcPr>
          <w:p w14:paraId="6E0173B8">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A37501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0-6岁儿童家庭养育环境量表（CHNEQ）</w:t>
            </w:r>
          </w:p>
        </w:tc>
      </w:tr>
      <w:tr w14:paraId="47DD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E5CB08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60</w:t>
            </w:r>
          </w:p>
        </w:tc>
        <w:tc>
          <w:tcPr>
            <w:tcW w:w="1612" w:type="dxa"/>
            <w:vAlign w:val="center"/>
          </w:tcPr>
          <w:p w14:paraId="2C65415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其他</w:t>
            </w:r>
          </w:p>
        </w:tc>
        <w:tc>
          <w:tcPr>
            <w:tcW w:w="5972" w:type="dxa"/>
            <w:vAlign w:val="center"/>
          </w:tcPr>
          <w:p w14:paraId="5DF3C6B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儿童感觉统合能力发展评定</w:t>
            </w:r>
          </w:p>
        </w:tc>
      </w:tr>
      <w:tr w14:paraId="14837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07F5BD06">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61</w:t>
            </w:r>
          </w:p>
        </w:tc>
        <w:tc>
          <w:tcPr>
            <w:tcW w:w="1612" w:type="dxa"/>
            <w:vMerge w:val="restart"/>
            <w:vAlign w:val="center"/>
          </w:tcPr>
          <w:p w14:paraId="0584BF4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功能评估</w:t>
            </w:r>
          </w:p>
        </w:tc>
        <w:tc>
          <w:tcPr>
            <w:tcW w:w="5972" w:type="dxa"/>
            <w:vAlign w:val="center"/>
          </w:tcPr>
          <w:p w14:paraId="3FFF267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汉语言沟通</w:t>
            </w:r>
          </w:p>
        </w:tc>
      </w:tr>
      <w:tr w14:paraId="72A1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949EB43">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62</w:t>
            </w:r>
          </w:p>
        </w:tc>
        <w:tc>
          <w:tcPr>
            <w:tcW w:w="1612" w:type="dxa"/>
            <w:vMerge w:val="continue"/>
            <w:vAlign w:val="center"/>
          </w:tcPr>
          <w:p w14:paraId="0B862183">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477077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构音能力测验</w:t>
            </w:r>
          </w:p>
        </w:tc>
      </w:tr>
      <w:tr w14:paraId="29B9C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40A269D">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63</w:t>
            </w:r>
          </w:p>
        </w:tc>
        <w:tc>
          <w:tcPr>
            <w:tcW w:w="1612" w:type="dxa"/>
            <w:vMerge w:val="continue"/>
            <w:vAlign w:val="center"/>
          </w:tcPr>
          <w:p w14:paraId="7FCD340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3BBEF9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手功能评估</w:t>
            </w:r>
          </w:p>
        </w:tc>
      </w:tr>
      <w:tr w14:paraId="3615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3EAF6F8">
            <w:pPr>
              <w:pStyle w:val="189"/>
              <w:pageBreakBefore w:val="0"/>
              <w:numPr>
                <w:ilvl w:val="0"/>
                <w:numId w:val="0"/>
              </w:numPr>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64</w:t>
            </w:r>
          </w:p>
        </w:tc>
        <w:tc>
          <w:tcPr>
            <w:tcW w:w="1612" w:type="dxa"/>
            <w:vMerge w:val="continue"/>
            <w:vAlign w:val="center"/>
          </w:tcPr>
          <w:p w14:paraId="1C981E38">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45F1E4E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脑瘫粗大运动评估</w:t>
            </w:r>
          </w:p>
        </w:tc>
      </w:tr>
      <w:tr w14:paraId="0620C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0386EA5">
            <w:pPr>
              <w:pStyle w:val="189"/>
              <w:pageBreakBefore w:val="0"/>
              <w:numPr>
                <w:numId w:val="0"/>
              </w:numPr>
              <w:kinsoku/>
              <w:wordWrap/>
              <w:overflowPunct/>
              <w:topLinePunct w:val="0"/>
              <w:autoSpaceDE/>
              <w:autoSpaceDN/>
              <w:bidi w:val="0"/>
              <w:spacing w:line="360" w:lineRule="auto"/>
              <w:ind w:left="0" w:leftChars="0" w:firstLine="0" w:firstLineChars="0"/>
              <w:jc w:val="center"/>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65</w:t>
            </w:r>
          </w:p>
        </w:tc>
        <w:tc>
          <w:tcPr>
            <w:tcW w:w="1612" w:type="dxa"/>
            <w:vMerge w:val="continue"/>
            <w:vAlign w:val="center"/>
          </w:tcPr>
          <w:p w14:paraId="611FA10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A2DF3E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口腔功能评估</w:t>
            </w:r>
          </w:p>
        </w:tc>
      </w:tr>
      <w:tr w14:paraId="0A14F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6" w:type="dxa"/>
            <w:vAlign w:val="center"/>
          </w:tcPr>
          <w:p w14:paraId="77A67AB6">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66</w:t>
            </w:r>
          </w:p>
        </w:tc>
        <w:tc>
          <w:tcPr>
            <w:tcW w:w="1612" w:type="dxa"/>
            <w:vAlign w:val="center"/>
          </w:tcPr>
          <w:p w14:paraId="57E5A0CD">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906A51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FMFM精细运动评估</w:t>
            </w:r>
          </w:p>
        </w:tc>
      </w:tr>
      <w:tr w14:paraId="1513F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6B33011">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67</w:t>
            </w:r>
          </w:p>
        </w:tc>
        <w:tc>
          <w:tcPr>
            <w:tcW w:w="1612" w:type="dxa"/>
            <w:vAlign w:val="center"/>
          </w:tcPr>
          <w:p w14:paraId="756EB0EB">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2BD92E6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BSID贝利婴幼儿发展量表</w:t>
            </w:r>
          </w:p>
        </w:tc>
      </w:tr>
      <w:tr w14:paraId="61043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183D0D8">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68</w:t>
            </w:r>
          </w:p>
        </w:tc>
        <w:tc>
          <w:tcPr>
            <w:tcW w:w="1612" w:type="dxa"/>
            <w:vAlign w:val="center"/>
          </w:tcPr>
          <w:p w14:paraId="69AB2FD6">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57193E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学龄前50项智能筛查</w:t>
            </w:r>
          </w:p>
        </w:tc>
      </w:tr>
      <w:tr w14:paraId="79454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6FD3B2D4">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69</w:t>
            </w:r>
          </w:p>
        </w:tc>
        <w:tc>
          <w:tcPr>
            <w:tcW w:w="1612" w:type="dxa"/>
            <w:vAlign w:val="center"/>
          </w:tcPr>
          <w:p w14:paraId="21921C3C">
            <w:pPr>
              <w:pageBreakBefore w:val="0"/>
              <w:kinsoku/>
              <w:wordWrap/>
              <w:overflowPunct/>
              <w:topLinePunct w:val="0"/>
              <w:autoSpaceDE/>
              <w:autoSpaceDN/>
              <w:bidi w:val="0"/>
              <w:ind w:left="0" w:leftChars="0" w:firstLine="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268183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象征性游戏测试SPT</w:t>
            </w:r>
          </w:p>
        </w:tc>
      </w:tr>
      <w:tr w14:paraId="2E513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F9D5384">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70</w:t>
            </w:r>
          </w:p>
        </w:tc>
        <w:tc>
          <w:tcPr>
            <w:tcW w:w="1612" w:type="dxa"/>
            <w:vAlign w:val="center"/>
          </w:tcPr>
          <w:p w14:paraId="6DAA9B1B">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6839298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语言发育迟缓检查法S-S法</w:t>
            </w:r>
          </w:p>
        </w:tc>
      </w:tr>
      <w:tr w14:paraId="655B1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0593CD2">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71</w:t>
            </w:r>
          </w:p>
        </w:tc>
        <w:tc>
          <w:tcPr>
            <w:tcW w:w="1612" w:type="dxa"/>
            <w:vAlign w:val="center"/>
          </w:tcPr>
          <w:p w14:paraId="07DEA5F1">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151E127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孤独症儿童感知觉评估量表</w:t>
            </w:r>
          </w:p>
        </w:tc>
      </w:tr>
      <w:tr w14:paraId="0A900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BDEB871">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72</w:t>
            </w:r>
          </w:p>
        </w:tc>
        <w:tc>
          <w:tcPr>
            <w:tcW w:w="1612" w:type="dxa"/>
            <w:vAlign w:val="center"/>
          </w:tcPr>
          <w:p w14:paraId="0B6DE98B">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D1535DF">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孤独症儿童粗大动作评估量表</w:t>
            </w:r>
          </w:p>
        </w:tc>
      </w:tr>
      <w:tr w14:paraId="2C00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4612DDB9">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73</w:t>
            </w:r>
          </w:p>
        </w:tc>
        <w:tc>
          <w:tcPr>
            <w:tcW w:w="1612" w:type="dxa"/>
            <w:vAlign w:val="center"/>
          </w:tcPr>
          <w:p w14:paraId="3DD7D31F">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0DE8226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PEP-3自闭症儿童心理教育评估第三版</w:t>
            </w:r>
          </w:p>
        </w:tc>
      </w:tr>
      <w:tr w14:paraId="3B01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68163166">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74</w:t>
            </w:r>
          </w:p>
        </w:tc>
        <w:tc>
          <w:tcPr>
            <w:tcW w:w="1612" w:type="dxa"/>
            <w:vAlign w:val="center"/>
          </w:tcPr>
          <w:p w14:paraId="09D5E49E">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14:textFill>
                  <w14:solidFill>
                    <w14:schemeClr w14:val="tx1"/>
                  </w14:solidFill>
                </w14:textFill>
              </w:rPr>
            </w:pPr>
          </w:p>
        </w:tc>
        <w:tc>
          <w:tcPr>
            <w:tcW w:w="5972" w:type="dxa"/>
            <w:vAlign w:val="center"/>
          </w:tcPr>
          <w:p w14:paraId="55CAAA2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
                <w14:textFill>
                  <w14:solidFill>
                    <w14:schemeClr w14:val="tx1"/>
                  </w14:solidFill>
                </w14:textFill>
              </w:rPr>
              <w:t>SRS社交反应量表</w:t>
            </w:r>
          </w:p>
        </w:tc>
      </w:tr>
      <w:tr w14:paraId="2AB4B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Merge w:val="restart"/>
            <w:vAlign w:val="center"/>
          </w:tcPr>
          <w:p w14:paraId="161632D8">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75</w:t>
            </w:r>
          </w:p>
        </w:tc>
        <w:tc>
          <w:tcPr>
            <w:tcW w:w="1612" w:type="dxa"/>
            <w:vMerge w:val="restart"/>
            <w:vAlign w:val="center"/>
          </w:tcPr>
          <w:p w14:paraId="24C020DF">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5384983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舒尔特方格</w:t>
            </w:r>
          </w:p>
        </w:tc>
      </w:tr>
      <w:tr w14:paraId="0461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Merge w:val="continue"/>
            <w:tcBorders/>
            <w:vAlign w:val="center"/>
          </w:tcPr>
          <w:p w14:paraId="5B0B3E1E">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1612" w:type="dxa"/>
            <w:vMerge w:val="continue"/>
            <w:vAlign w:val="center"/>
          </w:tcPr>
          <w:p w14:paraId="08E15883">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1F344A4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米勒评定法</w:t>
            </w:r>
          </w:p>
          <w:p w14:paraId="647DE83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运动评定量表</w:t>
            </w:r>
          </w:p>
          <w:p w14:paraId="47FEBAD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改良韦氏综合评分量表</w:t>
            </w:r>
          </w:p>
          <w:p w14:paraId="5C34EE3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Berg平衡量表</w:t>
            </w:r>
          </w:p>
          <w:p w14:paraId="5DD4E0C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动态步态指数</w:t>
            </w:r>
          </w:p>
          <w:p w14:paraId="52D77E1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功能性步态评价</w:t>
            </w:r>
          </w:p>
          <w:p w14:paraId="6D5B0B5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林氏平衡量表</w:t>
            </w:r>
          </w:p>
          <w:p w14:paraId="2695D54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心理健康诊断测试</w:t>
            </w:r>
          </w:p>
          <w:p w14:paraId="1899B14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Piers-Harris儿童自我意识量表</w:t>
            </w:r>
          </w:p>
          <w:p w14:paraId="1B0C1C2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医院焦虑抑郁量表</w:t>
            </w:r>
          </w:p>
          <w:p w14:paraId="442D7C5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杨氏狂躁症评定量表</w:t>
            </w:r>
          </w:p>
        </w:tc>
      </w:tr>
      <w:tr w14:paraId="535F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6DABE46">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76</w:t>
            </w:r>
          </w:p>
        </w:tc>
        <w:tc>
          <w:tcPr>
            <w:tcW w:w="1612" w:type="dxa"/>
            <w:vAlign w:val="center"/>
          </w:tcPr>
          <w:p w14:paraId="7CD8B91F">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06C77D4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视力训练</w:t>
            </w:r>
          </w:p>
          <w:p w14:paraId="329D293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眼肌恢复训练</w:t>
            </w:r>
          </w:p>
          <w:p w14:paraId="03F4D35E">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散光恢复训练</w:t>
            </w:r>
          </w:p>
          <w:p w14:paraId="3E92AD6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斜视恢复训练</w:t>
            </w:r>
          </w:p>
          <w:p w14:paraId="46C1C81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色觉测试</w:t>
            </w:r>
          </w:p>
        </w:tc>
      </w:tr>
      <w:tr w14:paraId="49A29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51DEDC7C">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77</w:t>
            </w:r>
          </w:p>
        </w:tc>
        <w:tc>
          <w:tcPr>
            <w:tcW w:w="1612" w:type="dxa"/>
            <w:vAlign w:val="center"/>
          </w:tcPr>
          <w:p w14:paraId="62E39285">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2731ADBD">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STRONGKids营养风险筛查表</w:t>
            </w:r>
          </w:p>
          <w:p w14:paraId="7BAD13B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儿科营养不良评估</w:t>
            </w:r>
          </w:p>
          <w:p w14:paraId="7A73C9B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儿童营养风险筛查</w:t>
            </w:r>
          </w:p>
          <w:p w14:paraId="46C24D5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SGNA评估表</w:t>
            </w:r>
          </w:p>
          <w:p w14:paraId="0DE6DCD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IMFeD儿童饮食行为</w:t>
            </w:r>
          </w:p>
          <w:p w14:paraId="779023F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儿科Yorkhil营养不良评分工具(PYMS)</w:t>
            </w:r>
          </w:p>
          <w:p w14:paraId="27060AE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肿瘤患儿营养筛查工具(SCAN)</w:t>
            </w:r>
          </w:p>
        </w:tc>
      </w:tr>
      <w:tr w14:paraId="5203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936" w:type="dxa"/>
            <w:vAlign w:val="center"/>
          </w:tcPr>
          <w:p w14:paraId="6953BB86">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78</w:t>
            </w:r>
          </w:p>
        </w:tc>
        <w:tc>
          <w:tcPr>
            <w:tcW w:w="1612" w:type="dxa"/>
            <w:vAlign w:val="center"/>
          </w:tcPr>
          <w:p w14:paraId="71935D48">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24D3D86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0-6岁早期发展跟踪管理</w:t>
            </w:r>
          </w:p>
          <w:p w14:paraId="1689F6B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中医辨识体质系统</w:t>
            </w:r>
          </w:p>
        </w:tc>
      </w:tr>
      <w:tr w14:paraId="4A4CD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35C5DEFD">
            <w:pPr>
              <w:pStyle w:val="189"/>
              <w:pageBreakBefore w:val="0"/>
              <w:kinsoku/>
              <w:wordWrap/>
              <w:overflowPunct/>
              <w:topLinePunct w:val="0"/>
              <w:autoSpaceDE/>
              <w:autoSpaceDN/>
              <w:bidi w:val="0"/>
              <w:spacing w:line="360" w:lineRule="auto"/>
              <w:ind w:left="0" w:leftChars="0" w:firstLine="0" w:firstLineChars="0"/>
              <w:jc w:val="center"/>
              <w:rPr>
                <w:rFonts w:hint="eastAsia" w:ascii="宋体" w:hAnsi="宋体" w:eastAsia="宋体" w:cs="宋体"/>
                <w:color w:val="000000" w:themeColor="text1"/>
                <w:kern w:val="0"/>
                <w:sz w:val="24"/>
                <w:szCs w:val="24"/>
                <w:lang w:val="en-US" w:eastAsia="zh-CN"/>
                <w14:textFill>
                  <w14:solidFill>
                    <w14:schemeClr w14:val="tx1"/>
                  </w14:solidFill>
                </w14:textFill>
                <w:woUserID w:val="7"/>
              </w:rPr>
            </w:pPr>
            <w:r>
              <w:rPr>
                <w:rFonts w:hint="eastAsia" w:ascii="宋体" w:hAnsi="宋体" w:eastAsia="宋体" w:cs="宋体"/>
                <w:color w:val="000000" w:themeColor="text1"/>
                <w:kern w:val="0"/>
                <w:sz w:val="24"/>
                <w:szCs w:val="24"/>
                <w:lang w:val="en-US" w:eastAsia="zh-CN"/>
                <w14:textFill>
                  <w14:solidFill>
                    <w14:schemeClr w14:val="tx1"/>
                  </w14:solidFill>
                </w14:textFill>
                <w:woUserID w:val="7"/>
              </w:rPr>
              <w:t>79</w:t>
            </w:r>
          </w:p>
        </w:tc>
        <w:tc>
          <w:tcPr>
            <w:tcW w:w="1612" w:type="dxa"/>
            <w:vAlign w:val="center"/>
          </w:tcPr>
          <w:p w14:paraId="4AA9C50A">
            <w:pPr>
              <w:keepNext w:val="0"/>
              <w:keepLines w:val="0"/>
              <w:pageBreakBefore w:val="0"/>
              <w:widowControl w:val="0"/>
              <w:suppressLineNumbers w:val="0"/>
              <w:kinsoku/>
              <w:wordWrap/>
              <w:overflowPunct/>
              <w:topLinePunct w:val="0"/>
              <w:autoSpaceDE/>
              <w:autoSpaceDN/>
              <w:bidi w:val="0"/>
              <w:spacing w:beforeAutospacing="0" w:afterAutospacing="0"/>
              <w:ind w:left="0" w:right="0"/>
              <w:jc w:val="center"/>
              <w:rPr>
                <w:rFonts w:hint="eastAsia" w:ascii="宋体" w:hAnsi="宋体" w:eastAsia="宋体" w:cs="宋体"/>
                <w:b/>
                <w:bCs w:val="0"/>
                <w:color w:val="000000" w:themeColor="text1"/>
                <w:kern w:val="2"/>
                <w:sz w:val="24"/>
                <w:szCs w:val="24"/>
                <w14:textFill>
                  <w14:solidFill>
                    <w14:schemeClr w14:val="tx1"/>
                  </w14:solidFill>
                </w14:textFill>
                <w:woUserID w:val="7"/>
              </w:rPr>
            </w:pPr>
          </w:p>
          <w:p w14:paraId="1E6BA497">
            <w:pPr>
              <w:pageBreakBefore w:val="0"/>
              <w:kinsoku/>
              <w:wordWrap/>
              <w:overflowPunct/>
              <w:topLinePunct w:val="0"/>
              <w:autoSpaceDE/>
              <w:autoSpaceDN/>
              <w:bidi w:val="0"/>
              <w:ind w:left="0" w:leftChars="0" w:hanging="480" w:firstLineChars="0"/>
              <w:jc w:val="center"/>
              <w:rPr>
                <w:rFonts w:hint="eastAsia" w:ascii="宋体" w:hAnsi="宋体" w:eastAsia="宋体" w:cs="宋体"/>
                <w:color w:val="000000" w:themeColor="text1"/>
                <w:kern w:val="0"/>
                <w:sz w:val="24"/>
                <w:szCs w:val="24"/>
                <w:lang w:eastAsia="zh"/>
                <w14:textFill>
                  <w14:solidFill>
                    <w14:schemeClr w14:val="tx1"/>
                  </w14:solidFill>
                </w14:textFill>
                <w:woUserID w:val="7"/>
              </w:rPr>
            </w:pPr>
          </w:p>
        </w:tc>
        <w:tc>
          <w:tcPr>
            <w:tcW w:w="5972" w:type="dxa"/>
            <w:vAlign w:val="center"/>
          </w:tcPr>
          <w:p w14:paraId="5AF87A3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S-M婴儿-初中学生社会生活能力评定</w:t>
            </w:r>
          </w:p>
          <w:p w14:paraId="4B2BD2F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简明症状量表-18(BSI-18)</w:t>
            </w:r>
          </w:p>
          <w:p w14:paraId="4680CCE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儿童抑郁障碍自评量表(DSRSC)</w:t>
            </w:r>
          </w:p>
          <w:p w14:paraId="33AF217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抑郁评走量表(MADRS)</w:t>
            </w:r>
          </w:p>
          <w:p w14:paraId="48ED671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抑郁状态问卷DSI</w:t>
            </w:r>
          </w:p>
          <w:p w14:paraId="414C92D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纽卡斯尔抑郁诊断量表(NDI)</w:t>
            </w:r>
          </w:p>
          <w:p w14:paraId="1475F2D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抑郁体验问卷(DEQ)</w:t>
            </w:r>
          </w:p>
          <w:p w14:paraId="78C720A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KADS抑郁筛查量表</w:t>
            </w:r>
          </w:p>
          <w:p w14:paraId="75ED21D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考试焦虑测验</w:t>
            </w:r>
          </w:p>
          <w:p w14:paraId="7ACA68A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状态焦虑量表STAI-S</w:t>
            </w:r>
          </w:p>
          <w:p w14:paraId="50DC194E">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特质焦虑量表STAI-T</w:t>
            </w:r>
          </w:p>
          <w:p w14:paraId="5332DB0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儿童社交焦虑量表(SASC)</w:t>
            </w:r>
          </w:p>
          <w:p w14:paraId="54FFFBEF">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儿童焦虑性情绪障碍筛查表(SCARED)</w:t>
            </w:r>
          </w:p>
          <w:p w14:paraId="7E4DEC7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FUSQ家庭教育方式</w:t>
            </w:r>
          </w:p>
          <w:p w14:paraId="2733659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感觉剖析量表(中文版)</w:t>
            </w:r>
          </w:p>
          <w:p w14:paraId="6B8955E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心理健康诊断测试（MHT）</w:t>
            </w:r>
          </w:p>
          <w:p w14:paraId="0648D76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Conners儿童行为问卷（父母用）</w:t>
            </w:r>
          </w:p>
          <w:p w14:paraId="25B1F46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Conners儿童行为问卷（教师用）</w:t>
            </w:r>
          </w:p>
          <w:p w14:paraId="55F3068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YALE-BROWN强迫量表</w:t>
            </w:r>
          </w:p>
          <w:p w14:paraId="369F09A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儿童自我意识量表CSCS</w:t>
            </w:r>
          </w:p>
          <w:p w14:paraId="09CA42A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简明精神病量表BPRS自杀态度问卷SAQ情绪调节问卷</w:t>
            </w:r>
          </w:p>
          <w:p w14:paraId="5ED1ADD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父母养育方式</w:t>
            </w:r>
          </w:p>
          <w:p w14:paraId="2C130A3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家庭功能评定FAD</w:t>
            </w:r>
          </w:p>
          <w:p w14:paraId="303C29E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青少年生活事件量表(ASLEC)</w:t>
            </w:r>
          </w:p>
          <w:p w14:paraId="1E604C3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应付方式（CSQ）</w:t>
            </w:r>
          </w:p>
          <w:p w14:paraId="3259ACC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心理适应性评定量表</w:t>
            </w:r>
          </w:p>
          <w:p w14:paraId="42D7F40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认知情绪调节量表CERQ</w:t>
            </w:r>
          </w:p>
          <w:p w14:paraId="53B3030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社会功能性缺陷量表SDSS</w:t>
            </w:r>
          </w:p>
        </w:tc>
      </w:tr>
      <w:tr w14:paraId="2D10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1FB90542">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序号</w:t>
            </w:r>
          </w:p>
        </w:tc>
        <w:tc>
          <w:tcPr>
            <w:tcW w:w="1612" w:type="dxa"/>
            <w:vAlign w:val="center"/>
          </w:tcPr>
          <w:p w14:paraId="52344740">
            <w:pPr>
              <w:pageBreakBefore w:val="0"/>
              <w:kinsoku/>
              <w:wordWrap/>
              <w:overflowPunct/>
              <w:topLinePunct w:val="0"/>
              <w:autoSpaceDE/>
              <w:autoSpaceDN/>
              <w:bidi w:val="0"/>
              <w:ind w:left="0" w:hanging="48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功能名称</w:t>
            </w:r>
          </w:p>
        </w:tc>
        <w:tc>
          <w:tcPr>
            <w:tcW w:w="5972" w:type="dxa"/>
            <w:vAlign w:val="center"/>
          </w:tcPr>
          <w:p w14:paraId="3E69ECDE">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功能要求</w:t>
            </w:r>
          </w:p>
        </w:tc>
      </w:tr>
      <w:tr w14:paraId="515B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76AD7D06">
            <w:pPr>
              <w:pStyle w:val="189"/>
              <w:pageBreakBefore w:val="0"/>
              <w:numPr>
                <w:ilvl w:val="0"/>
                <w:numId w:val="0"/>
              </w:numPr>
              <w:kinsoku/>
              <w:wordWrap/>
              <w:overflowPunct/>
              <w:topLinePunct w:val="0"/>
              <w:autoSpaceDE/>
              <w:autoSpaceDN/>
              <w:bidi w:val="0"/>
              <w:spacing w:line="360" w:lineRule="auto"/>
              <w:ind w:left="0" w:leftChars="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80</w:t>
            </w:r>
          </w:p>
        </w:tc>
        <w:tc>
          <w:tcPr>
            <w:tcW w:w="1612" w:type="dxa"/>
            <w:vAlign w:val="center"/>
          </w:tcPr>
          <w:p w14:paraId="62A4F1F8">
            <w:pPr>
              <w:pageBreakBefore w:val="0"/>
              <w:kinsoku/>
              <w:wordWrap/>
              <w:overflowPunct/>
              <w:topLinePunct w:val="0"/>
              <w:autoSpaceDE/>
              <w:autoSpaceDN/>
              <w:bidi w:val="0"/>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测评历史</w:t>
            </w:r>
          </w:p>
        </w:tc>
        <w:tc>
          <w:tcPr>
            <w:tcW w:w="5972" w:type="dxa"/>
            <w:vAlign w:val="center"/>
          </w:tcPr>
          <w:p w14:paraId="2410C976">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支持根据日期、医生、儿童查询测评记录。</w:t>
            </w:r>
          </w:p>
          <w:p w14:paraId="4CBEDEA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支持查看儿童全部测评历史报告，支持今日、三个月、全部快速检索。</w:t>
            </w:r>
          </w:p>
        </w:tc>
      </w:tr>
      <w:tr w14:paraId="19CB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D914222">
            <w:pPr>
              <w:pStyle w:val="189"/>
              <w:pageBreakBefore w:val="0"/>
              <w:numPr>
                <w:ilvl w:val="0"/>
                <w:numId w:val="0"/>
              </w:numPr>
              <w:kinsoku/>
              <w:wordWrap/>
              <w:overflowPunct/>
              <w:topLinePunct w:val="0"/>
              <w:autoSpaceDE/>
              <w:autoSpaceDN/>
              <w:bidi w:val="0"/>
              <w:spacing w:line="360" w:lineRule="auto"/>
              <w:ind w:left="0" w:leftChars="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81</w:t>
            </w:r>
          </w:p>
        </w:tc>
        <w:tc>
          <w:tcPr>
            <w:tcW w:w="1612" w:type="dxa"/>
            <w:vAlign w:val="center"/>
          </w:tcPr>
          <w:p w14:paraId="53332245">
            <w:pPr>
              <w:pageBreakBefore w:val="0"/>
              <w:kinsoku/>
              <w:wordWrap/>
              <w:overflowPunct/>
              <w:topLinePunct w:val="0"/>
              <w:autoSpaceDE/>
              <w:autoSpaceDN/>
              <w:bidi w:val="0"/>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测评问卷下发管理</w:t>
            </w:r>
          </w:p>
        </w:tc>
        <w:tc>
          <w:tcPr>
            <w:tcW w:w="5972" w:type="dxa"/>
            <w:vAlign w:val="center"/>
          </w:tcPr>
          <w:p w14:paraId="699B0E32">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支持已下发问卷查询、撤回。支持问卷填写状态反馈。</w:t>
            </w:r>
          </w:p>
        </w:tc>
      </w:tr>
      <w:tr w14:paraId="60AE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6" w:type="dxa"/>
            <w:vAlign w:val="center"/>
          </w:tcPr>
          <w:p w14:paraId="25614725">
            <w:pPr>
              <w:pStyle w:val="189"/>
              <w:pageBreakBefore w:val="0"/>
              <w:numPr>
                <w:ilvl w:val="0"/>
                <w:numId w:val="0"/>
              </w:numPr>
              <w:kinsoku/>
              <w:wordWrap/>
              <w:overflowPunct/>
              <w:topLinePunct w:val="0"/>
              <w:autoSpaceDE/>
              <w:autoSpaceDN/>
              <w:bidi w:val="0"/>
              <w:spacing w:line="360" w:lineRule="auto"/>
              <w:ind w:left="0" w:leftChars="0"/>
              <w:jc w:val="center"/>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82</w:t>
            </w:r>
          </w:p>
        </w:tc>
        <w:tc>
          <w:tcPr>
            <w:tcW w:w="1612" w:type="dxa"/>
            <w:vAlign w:val="center"/>
          </w:tcPr>
          <w:p w14:paraId="6D49D0C3">
            <w:pPr>
              <w:pageBreakBefore w:val="0"/>
              <w:kinsoku/>
              <w:wordWrap/>
              <w:overflowPunct/>
              <w:topLinePunct w:val="0"/>
              <w:autoSpaceDE/>
              <w:autoSpaceDN/>
              <w:bidi w:val="0"/>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测评结果一览统计分析表</w:t>
            </w:r>
          </w:p>
        </w:tc>
        <w:tc>
          <w:tcPr>
            <w:tcW w:w="5972" w:type="dxa"/>
            <w:vAlign w:val="center"/>
          </w:tcPr>
          <w:p w14:paraId="12648BA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测评量表的测评结果记录查询。支持结果筛选、结论筛选、分数筛选。可以自定义评测内容中的任何纬度数据进行查看。</w:t>
            </w:r>
          </w:p>
        </w:tc>
      </w:tr>
    </w:tbl>
    <w:p w14:paraId="598D3F56">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专科测评</w:t>
      </w:r>
      <w:bookmarkEnd w:id="10"/>
      <w:r>
        <w:rPr>
          <w:rFonts w:hint="eastAsia" w:ascii="宋体" w:hAnsi="宋体" w:eastAsia="宋体" w:cs="宋体"/>
          <w:b/>
          <w:bCs/>
          <w:color w:val="000000" w:themeColor="text1"/>
          <w:sz w:val="24"/>
          <w:szCs w:val="24"/>
          <w14:textFill>
            <w14:solidFill>
              <w14:schemeClr w14:val="tx1"/>
            </w14:solidFill>
          </w14:textFill>
        </w:rPr>
        <w:t>及个体化专家指导系统</w:t>
      </w:r>
      <w:bookmarkEnd w:id="11"/>
    </w:p>
    <w:bookmarkEnd w:id="5"/>
    <w:bookmarkEnd w:id="6"/>
    <w:p w14:paraId="15F2B266">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12" w:name="_Toc326314086"/>
      <w:r>
        <w:rPr>
          <w:rFonts w:hint="eastAsia" w:ascii="宋体" w:hAnsi="宋体" w:eastAsia="宋体" w:cs="宋体"/>
          <w:b/>
          <w:bCs/>
          <w:color w:val="000000" w:themeColor="text1"/>
          <w:sz w:val="24"/>
          <w:szCs w:val="24"/>
          <w14:textFill>
            <w14:solidFill>
              <w14:schemeClr w14:val="tx1"/>
            </w14:solidFill>
          </w14:textFill>
        </w:rPr>
        <w:t>儿保服务移动端</w:t>
      </w:r>
      <w:bookmarkEnd w:id="12"/>
    </w:p>
    <w:p w14:paraId="1AB2BEF6">
      <w:pPr>
        <w:pageBreakBefore w:val="0"/>
        <w:kinsoku/>
        <w:wordWrap/>
        <w:overflowPunct/>
        <w:topLinePunct w:val="0"/>
        <w:autoSpaceDE/>
        <w:autoSpaceDN/>
        <w:bidi w:val="0"/>
        <w:ind w:left="0" w:firstLine="480" w:firstLineChars="200"/>
        <w:rPr>
          <w:rFonts w:hint="eastAsia" w:ascii="宋体" w:hAnsi="宋体" w:eastAsia="宋体" w:cs="宋体"/>
          <w:color w:val="000000" w:themeColor="text1"/>
          <w:sz w:val="24"/>
          <w:szCs w:val="24"/>
          <w14:textFill>
            <w14:solidFill>
              <w14:schemeClr w14:val="tx1"/>
            </w14:solidFill>
          </w14:textFill>
        </w:rPr>
      </w:pPr>
      <w:bookmarkStart w:id="13" w:name="_Toc1835092611"/>
      <w:r>
        <w:rPr>
          <w:rFonts w:hint="eastAsia" w:ascii="宋体" w:hAnsi="宋体" w:eastAsia="宋体" w:cs="宋体"/>
          <w:color w:val="000000" w:themeColor="text1"/>
          <w:sz w:val="24"/>
          <w:szCs w:val="24"/>
          <w14:textFill>
            <w14:solidFill>
              <w14:schemeClr w14:val="tx1"/>
            </w14:solidFill>
          </w14:textFill>
        </w:rPr>
        <w:t>自助建册</w:t>
      </w:r>
      <w:bookmarkEnd w:id="13"/>
    </w:p>
    <w:tbl>
      <w:tblPr>
        <w:tblStyle w:val="4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6259"/>
      </w:tblGrid>
      <w:tr w14:paraId="1301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565496EB">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bookmarkStart w:id="14" w:name="_Hlk73045847"/>
            <w:r>
              <w:rPr>
                <w:rFonts w:hint="eastAsia" w:ascii="宋体" w:hAnsi="宋体" w:eastAsia="宋体" w:cs="宋体"/>
                <w:color w:val="000000" w:themeColor="text1"/>
                <w:sz w:val="24"/>
                <w:szCs w:val="24"/>
                <w14:textFill>
                  <w14:solidFill>
                    <w14:schemeClr w14:val="tx1"/>
                  </w14:solidFill>
                </w14:textFill>
              </w:rPr>
              <w:t>序号</w:t>
            </w:r>
          </w:p>
        </w:tc>
        <w:tc>
          <w:tcPr>
            <w:tcW w:w="1559" w:type="dxa"/>
            <w:shd w:val="clear" w:color="auto" w:fill="auto"/>
          </w:tcPr>
          <w:p w14:paraId="062E8E04">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功能名称</w:t>
            </w:r>
          </w:p>
        </w:tc>
        <w:tc>
          <w:tcPr>
            <w:tcW w:w="6259" w:type="dxa"/>
            <w:shd w:val="clear" w:color="auto" w:fill="auto"/>
          </w:tcPr>
          <w:p w14:paraId="430ADE5C">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功能要求</w:t>
            </w:r>
          </w:p>
        </w:tc>
      </w:tr>
      <w:tr w14:paraId="587C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31B53469">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0FA87DE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扫二维码进入建册</w:t>
            </w:r>
          </w:p>
        </w:tc>
        <w:tc>
          <w:tcPr>
            <w:tcW w:w="6259" w:type="dxa"/>
            <w:shd w:val="clear" w:color="auto" w:fill="auto"/>
          </w:tcPr>
          <w:p w14:paraId="4DF2037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现场提供二维码，由家长手机扫二维码进入建册界面。</w:t>
            </w:r>
          </w:p>
        </w:tc>
      </w:tr>
      <w:tr w14:paraId="4686B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9F8C811">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6820089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基本信息</w:t>
            </w:r>
          </w:p>
        </w:tc>
        <w:tc>
          <w:tcPr>
            <w:tcW w:w="6259" w:type="dxa"/>
            <w:shd w:val="clear" w:color="auto" w:fill="auto"/>
          </w:tcPr>
          <w:p w14:paraId="2FF78A7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由家长在手机上填个人基本信息（姓名、性别、出生日期、证件号码、户口性质、户籍地、现住址等）。</w:t>
            </w:r>
          </w:p>
        </w:tc>
      </w:tr>
      <w:tr w14:paraId="3C959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39961314">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4D66C96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手册信息</w:t>
            </w:r>
          </w:p>
        </w:tc>
        <w:tc>
          <w:tcPr>
            <w:tcW w:w="6259" w:type="dxa"/>
            <w:shd w:val="clear" w:color="auto" w:fill="auto"/>
          </w:tcPr>
          <w:p w14:paraId="7B490D7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包括出生地点、出生情况、出生身长、出生体重、孕周等。</w:t>
            </w:r>
          </w:p>
        </w:tc>
      </w:tr>
      <w:tr w14:paraId="2A521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527BED58">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774D335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母亲信息</w:t>
            </w:r>
          </w:p>
        </w:tc>
        <w:tc>
          <w:tcPr>
            <w:tcW w:w="6259" w:type="dxa"/>
            <w:shd w:val="clear" w:color="auto" w:fill="auto"/>
          </w:tcPr>
          <w:p w14:paraId="67B8744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包括母亲姓名、联系电话、民族、身份证号码、工作单位、文化程度、健康状况、妊娠时患病情况、孕期高危登记等。</w:t>
            </w:r>
          </w:p>
        </w:tc>
      </w:tr>
      <w:tr w14:paraId="4FB9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2B61BE54">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5FCF592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父亲信息</w:t>
            </w:r>
          </w:p>
        </w:tc>
        <w:tc>
          <w:tcPr>
            <w:tcW w:w="6259" w:type="dxa"/>
            <w:shd w:val="clear" w:color="auto" w:fill="auto"/>
          </w:tcPr>
          <w:p w14:paraId="309B452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包括父亲姓名、联系电话、民族、身份证号码、工作单位、文化程度、健康状况等。</w:t>
            </w:r>
          </w:p>
        </w:tc>
      </w:tr>
      <w:tr w14:paraId="16E9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1470744D">
            <w:pPr>
              <w:pStyle w:val="189"/>
              <w:pageBreakBefore w:val="0"/>
              <w:numPr>
                <w:ilvl w:val="0"/>
                <w:numId w:val="16"/>
              </w:numPr>
              <w:kinsoku/>
              <w:wordWrap/>
              <w:overflowPunct/>
              <w:topLinePunct w:val="0"/>
              <w:autoSpaceDE/>
              <w:autoSpaceDN/>
              <w:bidi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392A721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数据上传</w:t>
            </w:r>
          </w:p>
        </w:tc>
        <w:tc>
          <w:tcPr>
            <w:tcW w:w="6259" w:type="dxa"/>
            <w:shd w:val="clear" w:color="auto" w:fill="auto"/>
          </w:tcPr>
          <w:p w14:paraId="2C676DB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将确定的建册数据上传至后台系统。</w:t>
            </w:r>
          </w:p>
        </w:tc>
      </w:tr>
      <w:bookmarkEnd w:id="14"/>
    </w:tbl>
    <w:p w14:paraId="221987DD">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15" w:name="_Toc241374863"/>
      <w:r>
        <w:rPr>
          <w:rFonts w:hint="eastAsia" w:ascii="宋体" w:hAnsi="宋体" w:eastAsia="宋体" w:cs="宋体"/>
          <w:b/>
          <w:bCs/>
          <w:color w:val="000000" w:themeColor="text1"/>
          <w:sz w:val="24"/>
          <w:szCs w:val="24"/>
          <w14:textFill>
            <w14:solidFill>
              <w14:schemeClr w14:val="tx1"/>
            </w14:solidFill>
          </w14:textFill>
        </w:rPr>
        <w:t>保健服务</w:t>
      </w:r>
      <w:bookmarkEnd w:id="15"/>
    </w:p>
    <w:tbl>
      <w:tblPr>
        <w:tblStyle w:val="4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6259"/>
      </w:tblGrid>
      <w:tr w14:paraId="5A949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87DE680">
            <w:pPr>
              <w:pageBreakBefore w:val="0"/>
              <w:kinsoku/>
              <w:wordWrap/>
              <w:overflowPunct/>
              <w:topLinePunct w:val="0"/>
              <w:autoSpaceDE/>
              <w:autoSpaceDN/>
              <w:bidi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559" w:type="dxa"/>
            <w:shd w:val="clear" w:color="auto" w:fill="auto"/>
          </w:tcPr>
          <w:p w14:paraId="2100A5B4">
            <w:pPr>
              <w:pageBreakBefore w:val="0"/>
              <w:kinsoku/>
              <w:wordWrap/>
              <w:overflowPunct/>
              <w:topLinePunct w:val="0"/>
              <w:autoSpaceDE/>
              <w:autoSpaceDN/>
              <w:bidi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功能名称</w:t>
            </w:r>
          </w:p>
        </w:tc>
        <w:tc>
          <w:tcPr>
            <w:tcW w:w="6259" w:type="dxa"/>
            <w:shd w:val="clear" w:color="auto" w:fill="auto"/>
          </w:tcPr>
          <w:p w14:paraId="30E19EC4">
            <w:pPr>
              <w:pageBreakBefore w:val="0"/>
              <w:kinsoku/>
              <w:wordWrap/>
              <w:overflowPunct/>
              <w:topLinePunct w:val="0"/>
              <w:autoSpaceDE/>
              <w:autoSpaceDN/>
              <w:bidi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功能要求</w:t>
            </w:r>
          </w:p>
        </w:tc>
      </w:tr>
      <w:tr w14:paraId="5DD94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12755CDF">
            <w:pPr>
              <w:pStyle w:val="189"/>
              <w:pageBreakBefore w:val="0"/>
              <w:numPr>
                <w:ilvl w:val="0"/>
                <w:numId w:val="17"/>
              </w:numPr>
              <w:kinsoku/>
              <w:wordWrap/>
              <w:overflowPunct/>
              <w:topLinePunct w:val="0"/>
              <w:autoSpaceDE/>
              <w:autoSpaceDN/>
              <w:bidi w:val="0"/>
              <w:snapToGrid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3B78835F">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生长发育曲线</w:t>
            </w:r>
          </w:p>
        </w:tc>
        <w:tc>
          <w:tcPr>
            <w:tcW w:w="6259" w:type="dxa"/>
            <w:shd w:val="clear" w:color="auto" w:fill="auto"/>
          </w:tcPr>
          <w:p w14:paraId="19549B5F">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显示儿童的生长发育曲线图（年龄/身高、年龄/体重、身高/体重、年龄/头围、BMI）。支持早产儿2岁以内实足和矫正月龄的曲线切换。</w:t>
            </w:r>
          </w:p>
        </w:tc>
      </w:tr>
      <w:tr w14:paraId="4D5BC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736ED4C7">
            <w:pPr>
              <w:pStyle w:val="189"/>
              <w:pageBreakBefore w:val="0"/>
              <w:numPr>
                <w:ilvl w:val="0"/>
                <w:numId w:val="17"/>
              </w:numPr>
              <w:kinsoku/>
              <w:wordWrap/>
              <w:overflowPunct/>
              <w:topLinePunct w:val="0"/>
              <w:autoSpaceDE/>
              <w:autoSpaceDN/>
              <w:bidi w:val="0"/>
              <w:snapToGrid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7DE5BDB1">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体检报告</w:t>
            </w:r>
          </w:p>
        </w:tc>
        <w:tc>
          <w:tcPr>
            <w:tcW w:w="6259" w:type="dxa"/>
            <w:shd w:val="clear" w:color="auto" w:fill="auto"/>
          </w:tcPr>
          <w:p w14:paraId="71AB229D">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查看儿童每次的体检报告。</w:t>
            </w:r>
          </w:p>
        </w:tc>
      </w:tr>
      <w:tr w14:paraId="3F9F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04" w:type="dxa"/>
            <w:shd w:val="clear" w:color="auto" w:fill="auto"/>
          </w:tcPr>
          <w:p w14:paraId="5641D0E9">
            <w:pPr>
              <w:pStyle w:val="189"/>
              <w:pageBreakBefore w:val="0"/>
              <w:numPr>
                <w:ilvl w:val="0"/>
                <w:numId w:val="17"/>
              </w:numPr>
              <w:kinsoku/>
              <w:wordWrap/>
              <w:overflowPunct/>
              <w:topLinePunct w:val="0"/>
              <w:autoSpaceDE/>
              <w:autoSpaceDN/>
              <w:bidi w:val="0"/>
              <w:snapToGrid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35F85802">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测评问卷</w:t>
            </w:r>
          </w:p>
        </w:tc>
        <w:tc>
          <w:tcPr>
            <w:tcW w:w="6259" w:type="dxa"/>
            <w:shd w:val="clear" w:color="auto" w:fill="auto"/>
          </w:tcPr>
          <w:p w14:paraId="135504A5">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填写由医生发送的儿保测评问卷。</w:t>
            </w:r>
          </w:p>
        </w:tc>
      </w:tr>
      <w:tr w14:paraId="02F9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733E7B8D">
            <w:pPr>
              <w:pStyle w:val="189"/>
              <w:pageBreakBefore w:val="0"/>
              <w:numPr>
                <w:ilvl w:val="0"/>
                <w:numId w:val="17"/>
              </w:numPr>
              <w:kinsoku/>
              <w:wordWrap/>
              <w:overflowPunct/>
              <w:topLinePunct w:val="0"/>
              <w:autoSpaceDE/>
              <w:autoSpaceDN/>
              <w:bidi w:val="0"/>
              <w:snapToGrid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3F16B646">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家庭育儿指导</w:t>
            </w:r>
          </w:p>
        </w:tc>
        <w:tc>
          <w:tcPr>
            <w:tcW w:w="6259" w:type="dxa"/>
            <w:shd w:val="clear" w:color="auto" w:fill="auto"/>
          </w:tcPr>
          <w:p w14:paraId="655B848D">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显示系统推送的生长发育指导、养育指导、早教指导、喂养指导等内容。</w:t>
            </w:r>
          </w:p>
        </w:tc>
      </w:tr>
      <w:tr w14:paraId="4BFB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27CEF2BF">
            <w:pPr>
              <w:pStyle w:val="189"/>
              <w:pageBreakBefore w:val="0"/>
              <w:numPr>
                <w:ilvl w:val="0"/>
                <w:numId w:val="17"/>
              </w:numPr>
              <w:kinsoku/>
              <w:wordWrap/>
              <w:overflowPunct/>
              <w:topLinePunct w:val="0"/>
              <w:autoSpaceDE/>
              <w:autoSpaceDN/>
              <w:bidi w:val="0"/>
              <w:snapToGrid w:val="0"/>
              <w:ind w:lef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1559" w:type="dxa"/>
            <w:shd w:val="clear" w:color="auto" w:fill="auto"/>
          </w:tcPr>
          <w:p w14:paraId="49435750">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亲子互动时间</w:t>
            </w:r>
          </w:p>
        </w:tc>
        <w:tc>
          <w:tcPr>
            <w:tcW w:w="6259" w:type="dxa"/>
            <w:shd w:val="clear" w:color="auto" w:fill="auto"/>
          </w:tcPr>
          <w:p w14:paraId="3779854F">
            <w:pPr>
              <w:pageBreakBefore w:val="0"/>
              <w:kinsoku/>
              <w:wordWrap/>
              <w:overflowPunct/>
              <w:topLinePunct w:val="0"/>
              <w:autoSpaceDE/>
              <w:autoSpaceDN/>
              <w:bidi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显示系统推送的潜能开发内容（游戏、音乐、歌谣等）。</w:t>
            </w:r>
          </w:p>
        </w:tc>
      </w:tr>
    </w:tbl>
    <w:p w14:paraId="1CDCA7EE">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16" w:name="_Toc1627694890"/>
      <w:r>
        <w:rPr>
          <w:rFonts w:hint="eastAsia" w:ascii="宋体" w:hAnsi="宋体" w:eastAsia="宋体" w:cs="宋体"/>
          <w:b/>
          <w:bCs/>
          <w:color w:val="000000" w:themeColor="text1"/>
          <w:sz w:val="24"/>
          <w:szCs w:val="24"/>
          <w14:textFill>
            <w14:solidFill>
              <w14:schemeClr w14:val="tx1"/>
            </w14:solidFill>
          </w14:textFill>
        </w:rPr>
        <w:t>数据总线集成模块</w:t>
      </w:r>
      <w:bookmarkEnd w:id="16"/>
    </w:p>
    <w:tbl>
      <w:tblPr>
        <w:tblStyle w:val="46"/>
        <w:tblW w:w="8642" w:type="dxa"/>
        <w:tblInd w:w="0" w:type="dxa"/>
        <w:tblLayout w:type="fixed"/>
        <w:tblCellMar>
          <w:top w:w="15" w:type="dxa"/>
          <w:left w:w="15" w:type="dxa"/>
          <w:bottom w:w="15" w:type="dxa"/>
          <w:right w:w="15" w:type="dxa"/>
        </w:tblCellMar>
      </w:tblPr>
      <w:tblGrid>
        <w:gridCol w:w="1350"/>
        <w:gridCol w:w="1615"/>
        <w:gridCol w:w="5677"/>
      </w:tblGrid>
      <w:tr w14:paraId="0A3C3FD0">
        <w:tblPrEx>
          <w:tblCellMar>
            <w:top w:w="15" w:type="dxa"/>
            <w:left w:w="15" w:type="dxa"/>
            <w:bottom w:w="15" w:type="dxa"/>
            <w:right w:w="15" w:type="dxa"/>
          </w:tblCellMar>
        </w:tblPrEx>
        <w:trPr>
          <w:trHeight w:val="495" w:hRule="atLeast"/>
        </w:trPr>
        <w:tc>
          <w:tcPr>
            <w:tcW w:w="1350" w:type="dxa"/>
            <w:vMerge w:val="restart"/>
            <w:tcBorders>
              <w:top w:val="single" w:color="000000" w:sz="4" w:space="0"/>
              <w:left w:val="single" w:color="000000" w:sz="4" w:space="0"/>
              <w:right w:val="single" w:color="000000" w:sz="4" w:space="0"/>
            </w:tcBorders>
            <w:shd w:val="clear" w:color="auto" w:fill="auto"/>
            <w:vAlign w:val="center"/>
          </w:tcPr>
          <w:p w14:paraId="582311A1">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HIS嵌入组件包</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21DB">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医生工作站集成组件</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7BCA1">
            <w:pPr>
              <w:pageBreakBefore w:val="0"/>
              <w:kinsoku/>
              <w:wordWrap/>
              <w:overflowPunct/>
              <w:topLinePunct w:val="0"/>
              <w:autoSpaceDE/>
              <w:autoSpaceDN/>
              <w:bidi w:val="0"/>
              <w:snapToGrid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提供通过URL直接打开医生工作站接诊儿童，支持静默注册。</w:t>
            </w:r>
          </w:p>
        </w:tc>
      </w:tr>
      <w:tr w14:paraId="4FAC542D">
        <w:tblPrEx>
          <w:tblCellMar>
            <w:top w:w="15" w:type="dxa"/>
            <w:left w:w="15" w:type="dxa"/>
            <w:bottom w:w="15" w:type="dxa"/>
            <w:right w:w="15" w:type="dxa"/>
          </w:tblCellMar>
        </w:tblPrEx>
        <w:trPr>
          <w:trHeight w:val="330" w:hRule="atLeast"/>
        </w:trPr>
        <w:tc>
          <w:tcPr>
            <w:tcW w:w="1350" w:type="dxa"/>
            <w:vMerge w:val="continue"/>
            <w:tcBorders>
              <w:left w:val="single" w:color="000000" w:sz="4" w:space="0"/>
              <w:right w:val="single" w:color="000000" w:sz="4" w:space="0"/>
            </w:tcBorders>
            <w:shd w:val="clear" w:color="auto" w:fill="auto"/>
            <w:vAlign w:val="center"/>
          </w:tcPr>
          <w:p w14:paraId="4468C170">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1CC58">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测评工作站组件</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8F999">
            <w:pPr>
              <w:pageBreakBefore w:val="0"/>
              <w:kinsoku/>
              <w:wordWrap/>
              <w:overflowPunct/>
              <w:topLinePunct w:val="0"/>
              <w:autoSpaceDE/>
              <w:autoSpaceDN/>
              <w:bidi w:val="0"/>
              <w:snapToGrid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提供通过URL直接打开测评工作站接诊儿童，支持静默注册。</w:t>
            </w:r>
          </w:p>
        </w:tc>
      </w:tr>
      <w:tr w14:paraId="056FF518">
        <w:tblPrEx>
          <w:tblCellMar>
            <w:top w:w="15" w:type="dxa"/>
            <w:left w:w="15" w:type="dxa"/>
            <w:bottom w:w="15" w:type="dxa"/>
            <w:right w:w="15" w:type="dxa"/>
          </w:tblCellMar>
        </w:tblPrEx>
        <w:trPr>
          <w:trHeight w:val="330" w:hRule="atLeast"/>
        </w:trPr>
        <w:tc>
          <w:tcPr>
            <w:tcW w:w="1350" w:type="dxa"/>
            <w:vMerge w:val="continue"/>
            <w:tcBorders>
              <w:left w:val="single" w:color="000000" w:sz="4" w:space="0"/>
              <w:bottom w:val="single" w:color="000000" w:sz="4" w:space="0"/>
              <w:right w:val="single" w:color="000000" w:sz="4" w:space="0"/>
            </w:tcBorders>
            <w:shd w:val="clear" w:color="auto" w:fill="auto"/>
            <w:vAlign w:val="center"/>
          </w:tcPr>
          <w:p w14:paraId="21261AEA">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3514F">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护士工作站组建</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3166C">
            <w:pPr>
              <w:pageBreakBefore w:val="0"/>
              <w:kinsoku/>
              <w:wordWrap/>
              <w:overflowPunct/>
              <w:topLinePunct w:val="0"/>
              <w:autoSpaceDE/>
              <w:autoSpaceDN/>
              <w:bidi w:val="0"/>
              <w:snapToGrid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提供通过URL直接打开护士工作站接诊儿童，支持静默注册。</w:t>
            </w:r>
          </w:p>
        </w:tc>
      </w:tr>
      <w:tr w14:paraId="6D4FBC0C">
        <w:tblPrEx>
          <w:tblCellMar>
            <w:top w:w="15" w:type="dxa"/>
            <w:left w:w="15" w:type="dxa"/>
            <w:bottom w:w="15" w:type="dxa"/>
            <w:right w:w="15" w:type="dxa"/>
          </w:tblCellMar>
        </w:tblPrEx>
        <w:trPr>
          <w:trHeight w:val="660" w:hRule="atLeast"/>
        </w:trPr>
        <w:tc>
          <w:tcPr>
            <w:tcW w:w="1350" w:type="dxa"/>
            <w:vMerge w:val="restart"/>
            <w:tcBorders>
              <w:top w:val="single" w:color="000000" w:sz="4" w:space="0"/>
              <w:left w:val="single" w:color="000000" w:sz="4" w:space="0"/>
              <w:right w:val="single" w:color="000000" w:sz="4" w:space="0"/>
            </w:tcBorders>
            <w:shd w:val="clear" w:color="auto" w:fill="auto"/>
            <w:vAlign w:val="center"/>
          </w:tcPr>
          <w:p w14:paraId="331A549D">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p>
          <w:p w14:paraId="142CDC09">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ESB</w:t>
            </w: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064F">
            <w:pPr>
              <w:pageBreakBefore w:val="0"/>
              <w:kinsoku/>
              <w:wordWrap/>
              <w:overflowPunct/>
              <w:topLinePunct w:val="0"/>
              <w:autoSpaceDE/>
              <w:autoSpaceDN/>
              <w:bidi w:val="0"/>
              <w:spacing w:line="240" w:lineRule="auto"/>
              <w:ind w:left="199" w:leftChars="95" w:firstLine="16" w:firstLineChars="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门诊卡集成</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D1A7">
            <w:pPr>
              <w:pageBreakBefore w:val="0"/>
              <w:kinsoku/>
              <w:wordWrap/>
              <w:overflowPunct/>
              <w:topLinePunct w:val="0"/>
              <w:autoSpaceDE/>
              <w:autoSpaceDN/>
              <w:bidi w:val="0"/>
              <w:snapToGrid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提供对接标准门诊卡视图，实现刷卡建册、刷卡接诊</w:t>
            </w:r>
          </w:p>
        </w:tc>
      </w:tr>
      <w:tr w14:paraId="014CC8C0">
        <w:tblPrEx>
          <w:tblCellMar>
            <w:top w:w="15" w:type="dxa"/>
            <w:left w:w="15" w:type="dxa"/>
            <w:bottom w:w="15" w:type="dxa"/>
            <w:right w:w="15" w:type="dxa"/>
          </w:tblCellMar>
        </w:tblPrEx>
        <w:trPr>
          <w:trHeight w:val="495" w:hRule="atLeast"/>
        </w:trPr>
        <w:tc>
          <w:tcPr>
            <w:tcW w:w="1350" w:type="dxa"/>
            <w:vMerge w:val="continue"/>
            <w:tcBorders>
              <w:left w:val="single" w:color="000000" w:sz="4" w:space="0"/>
              <w:right w:val="single" w:color="000000" w:sz="4" w:space="0"/>
            </w:tcBorders>
            <w:shd w:val="clear" w:color="auto" w:fill="auto"/>
            <w:vAlign w:val="center"/>
          </w:tcPr>
          <w:p w14:paraId="26EE040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D817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LIS/PACS集成</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AFC4">
            <w:pPr>
              <w:pageBreakBefore w:val="0"/>
              <w:kinsoku/>
              <w:wordWrap/>
              <w:overflowPunct/>
              <w:topLinePunct w:val="0"/>
              <w:autoSpaceDE/>
              <w:autoSpaceDN/>
              <w:bidi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提供对接标准辅检结果视图、影像结果视图，实现结果导入到病历表单对应项目中。</w:t>
            </w:r>
          </w:p>
        </w:tc>
      </w:tr>
      <w:tr w14:paraId="0317D867">
        <w:tblPrEx>
          <w:tblCellMar>
            <w:top w:w="15" w:type="dxa"/>
            <w:left w:w="15" w:type="dxa"/>
            <w:bottom w:w="15" w:type="dxa"/>
            <w:right w:w="15" w:type="dxa"/>
          </w:tblCellMar>
        </w:tblPrEx>
        <w:trPr>
          <w:trHeight w:val="495" w:hRule="atLeast"/>
        </w:trPr>
        <w:tc>
          <w:tcPr>
            <w:tcW w:w="1350" w:type="dxa"/>
            <w:tcBorders>
              <w:left w:val="single" w:color="000000" w:sz="4" w:space="0"/>
              <w:bottom w:val="single" w:color="000000" w:sz="4" w:space="0"/>
              <w:right w:val="single" w:color="000000" w:sz="4" w:space="0"/>
            </w:tcBorders>
            <w:shd w:val="clear" w:color="auto" w:fill="auto"/>
            <w:vAlign w:val="center"/>
          </w:tcPr>
          <w:p w14:paraId="79BE195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p>
        </w:tc>
        <w:tc>
          <w:tcPr>
            <w:tcW w:w="1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AD5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数据上报</w:t>
            </w:r>
          </w:p>
        </w:tc>
        <w:tc>
          <w:tcPr>
            <w:tcW w:w="5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91281">
            <w:pPr>
              <w:pageBreakBefore w:val="0"/>
              <w:kinsoku/>
              <w:wordWrap/>
              <w:overflowPunct/>
              <w:topLinePunct w:val="0"/>
              <w:autoSpaceDE/>
              <w:autoSpaceDN/>
              <w:bidi w:val="0"/>
              <w:spacing w:line="240" w:lineRule="auto"/>
              <w:ind w:left="216" w:leftChars="103"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系统支持与江西省妇幼保健平台对接，实现儿童保健数据的自动报送。</w:t>
            </w:r>
          </w:p>
        </w:tc>
      </w:tr>
    </w:tbl>
    <w:p w14:paraId="44D58C82">
      <w:pPr>
        <w:pageBreakBefore w:val="0"/>
        <w:kinsoku/>
        <w:wordWrap/>
        <w:overflowPunct/>
        <w:topLinePunct w:val="0"/>
        <w:autoSpaceDE/>
        <w:autoSpaceDN/>
        <w:bidi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bookmarkStart w:id="17" w:name="_Toc190713258"/>
      <w:r>
        <w:rPr>
          <w:rFonts w:hint="eastAsia" w:ascii="宋体" w:hAnsi="宋体" w:eastAsia="宋体" w:cs="宋体"/>
          <w:b/>
          <w:bCs/>
          <w:color w:val="000000" w:themeColor="text1"/>
          <w:sz w:val="24"/>
          <w:szCs w:val="24"/>
          <w14:textFill>
            <w14:solidFill>
              <w14:schemeClr w14:val="tx1"/>
            </w14:solidFill>
          </w14:textFill>
        </w:rPr>
        <w:t>基础服务</w:t>
      </w:r>
      <w:bookmarkEnd w:id="17"/>
      <w:r>
        <w:rPr>
          <w:rFonts w:hint="eastAsia" w:ascii="宋体" w:hAnsi="宋体" w:eastAsia="宋体" w:cs="宋体"/>
          <w:b/>
          <w:bCs/>
          <w:color w:val="000000" w:themeColor="text1"/>
          <w:sz w:val="24"/>
          <w:szCs w:val="24"/>
          <w14:textFill>
            <w14:solidFill>
              <w14:schemeClr w14:val="tx1"/>
            </w14:solidFill>
          </w14:textFill>
        </w:rPr>
        <w:t>系统</w:t>
      </w:r>
    </w:p>
    <w:tbl>
      <w:tblPr>
        <w:tblStyle w:val="4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559"/>
        <w:gridCol w:w="6259"/>
      </w:tblGrid>
      <w:tr w14:paraId="50F9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5" w:hRule="atLeast"/>
        </w:trPr>
        <w:tc>
          <w:tcPr>
            <w:tcW w:w="704" w:type="dxa"/>
            <w:shd w:val="clear" w:color="auto" w:fill="auto"/>
          </w:tcPr>
          <w:p w14:paraId="4F7C2DB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序号</w:t>
            </w:r>
          </w:p>
        </w:tc>
        <w:tc>
          <w:tcPr>
            <w:tcW w:w="1559" w:type="dxa"/>
            <w:shd w:val="clear" w:color="auto" w:fill="auto"/>
          </w:tcPr>
          <w:p w14:paraId="69F1E7A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功能名称</w:t>
            </w:r>
          </w:p>
        </w:tc>
        <w:tc>
          <w:tcPr>
            <w:tcW w:w="6259" w:type="dxa"/>
            <w:shd w:val="clear" w:color="auto" w:fill="auto"/>
          </w:tcPr>
          <w:p w14:paraId="00517B71">
            <w:pPr>
              <w:pageBreakBefore w:val="0"/>
              <w:kinsoku/>
              <w:wordWrap/>
              <w:overflowPunct/>
              <w:topLinePunct w:val="0"/>
              <w:autoSpaceDE/>
              <w:autoSpaceDN/>
              <w:bidi w:val="0"/>
              <w:ind w:left="0" w:hanging="48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功能要求</w:t>
            </w:r>
          </w:p>
        </w:tc>
      </w:tr>
      <w:tr w14:paraId="10B4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0954873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p>
        </w:tc>
        <w:tc>
          <w:tcPr>
            <w:tcW w:w="1559" w:type="dxa"/>
            <w:shd w:val="clear" w:color="auto" w:fill="auto"/>
          </w:tcPr>
          <w:p w14:paraId="0AD46FA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单点登录</w:t>
            </w:r>
          </w:p>
        </w:tc>
        <w:tc>
          <w:tcPr>
            <w:tcW w:w="6259" w:type="dxa"/>
            <w:shd w:val="clear" w:color="auto" w:fill="auto"/>
          </w:tcPr>
          <w:p w14:paraId="12CAFF6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采用单点登录方式，实现所有系统应用的统一登录，不需要分别登录进行授权。</w:t>
            </w:r>
          </w:p>
        </w:tc>
      </w:tr>
      <w:tr w14:paraId="54046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0729198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p>
        </w:tc>
        <w:tc>
          <w:tcPr>
            <w:tcW w:w="1559" w:type="dxa"/>
            <w:shd w:val="clear" w:color="auto" w:fill="auto"/>
          </w:tcPr>
          <w:p w14:paraId="4EC58B5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机构管理</w:t>
            </w:r>
          </w:p>
        </w:tc>
        <w:tc>
          <w:tcPr>
            <w:tcW w:w="6259" w:type="dxa"/>
            <w:shd w:val="clear" w:color="auto" w:fill="auto"/>
          </w:tcPr>
          <w:p w14:paraId="0B804C8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对系统使用机构进行维护，让系统用户可以关联到具体的机构。包括机构的新增、修改和删除功能。</w:t>
            </w:r>
          </w:p>
        </w:tc>
      </w:tr>
      <w:tr w14:paraId="69FA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8D934D0">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p>
        </w:tc>
        <w:tc>
          <w:tcPr>
            <w:tcW w:w="1559" w:type="dxa"/>
            <w:shd w:val="clear" w:color="auto" w:fill="auto"/>
          </w:tcPr>
          <w:p w14:paraId="4FCBF14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用户管理</w:t>
            </w:r>
          </w:p>
        </w:tc>
        <w:tc>
          <w:tcPr>
            <w:tcW w:w="6259" w:type="dxa"/>
            <w:shd w:val="clear" w:color="auto" w:fill="auto"/>
          </w:tcPr>
          <w:p w14:paraId="5DF3B88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用于管理用户人员，主要用来实现对用户的权限分配，对应用系统的所有资源进行权限控制，比如应用系统的功能菜单、各个界面的按钮控件等进行权限的操控。</w:t>
            </w:r>
          </w:p>
        </w:tc>
      </w:tr>
      <w:tr w14:paraId="7666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1B327E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（4）</w:t>
            </w:r>
          </w:p>
        </w:tc>
        <w:tc>
          <w:tcPr>
            <w:tcW w:w="1559" w:type="dxa"/>
            <w:shd w:val="clear" w:color="auto" w:fill="auto"/>
          </w:tcPr>
          <w:p w14:paraId="110EA289">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应用管理</w:t>
            </w:r>
          </w:p>
        </w:tc>
        <w:tc>
          <w:tcPr>
            <w:tcW w:w="6259" w:type="dxa"/>
            <w:shd w:val="clear" w:color="auto" w:fill="auto"/>
          </w:tcPr>
          <w:p w14:paraId="797E1E8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平台拥有多个独立的应用系统情况，实现不同业务领域、不同技术架构的信息系统之间进行数据共享，不需要人为的数据同步。支持对各个独立的应用系统进行统一的管理，包括应用的新增、修改和删除功能。</w:t>
            </w:r>
          </w:p>
        </w:tc>
      </w:tr>
      <w:tr w14:paraId="64E9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E9F08EE">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w:t>
            </w:r>
          </w:p>
        </w:tc>
        <w:tc>
          <w:tcPr>
            <w:tcW w:w="1559" w:type="dxa"/>
            <w:shd w:val="clear" w:color="auto" w:fill="auto"/>
          </w:tcPr>
          <w:p w14:paraId="462676C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资源管理</w:t>
            </w:r>
          </w:p>
        </w:tc>
        <w:tc>
          <w:tcPr>
            <w:tcW w:w="6259" w:type="dxa"/>
            <w:shd w:val="clear" w:color="auto" w:fill="auto"/>
          </w:tcPr>
          <w:p w14:paraId="4CA8058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针对各个应用系统的功能菜单、各个界面的按钮控件进行管理维护，方便在对用户授权时使用，包括新增、修改和删除功能。</w:t>
            </w:r>
          </w:p>
        </w:tc>
      </w:tr>
      <w:tr w14:paraId="2CEC4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66BC5D7D">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（6）</w:t>
            </w:r>
          </w:p>
        </w:tc>
        <w:tc>
          <w:tcPr>
            <w:tcW w:w="1559" w:type="dxa"/>
            <w:shd w:val="clear" w:color="auto" w:fill="auto"/>
          </w:tcPr>
          <w:p w14:paraId="635B7C38">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角色管理</w:t>
            </w:r>
          </w:p>
        </w:tc>
        <w:tc>
          <w:tcPr>
            <w:tcW w:w="6259" w:type="dxa"/>
            <w:shd w:val="clear" w:color="auto" w:fill="auto"/>
          </w:tcPr>
          <w:p w14:paraId="47B95B3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对角色进行维护。角色是一组相关权限的命名集合，通过角色关联用户功能，实现属于同一角色的用户拥有相同的授权。角色管理包括新增、修改、删除功能。</w:t>
            </w:r>
          </w:p>
        </w:tc>
      </w:tr>
      <w:tr w14:paraId="64025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7E9563F4">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w:t>
            </w:r>
          </w:p>
        </w:tc>
        <w:tc>
          <w:tcPr>
            <w:tcW w:w="1559" w:type="dxa"/>
            <w:shd w:val="clear" w:color="auto" w:fill="auto"/>
          </w:tcPr>
          <w:p w14:paraId="4428848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应用授权</w:t>
            </w:r>
          </w:p>
        </w:tc>
        <w:tc>
          <w:tcPr>
            <w:tcW w:w="6259" w:type="dxa"/>
            <w:shd w:val="clear" w:color="auto" w:fill="auto"/>
          </w:tcPr>
          <w:p w14:paraId="6171C0E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主要对角色和应用、用户和应用进行关联，让操作者使用授权的应用。。</w:t>
            </w:r>
          </w:p>
        </w:tc>
      </w:tr>
      <w:tr w14:paraId="1635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494943C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（8）</w:t>
            </w:r>
          </w:p>
        </w:tc>
        <w:tc>
          <w:tcPr>
            <w:tcW w:w="1559" w:type="dxa"/>
            <w:shd w:val="clear" w:color="auto" w:fill="auto"/>
          </w:tcPr>
          <w:p w14:paraId="1ABA6A0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角色授权</w:t>
            </w:r>
          </w:p>
        </w:tc>
        <w:tc>
          <w:tcPr>
            <w:tcW w:w="6259" w:type="dxa"/>
            <w:shd w:val="clear" w:color="auto" w:fill="auto"/>
          </w:tcPr>
          <w:p w14:paraId="7C81AF7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对角色授予资源访问权限，让用户登录以后，选择授权的应用，再根据角色和用户关联关系显示对应用户的资源菜单。</w:t>
            </w:r>
          </w:p>
        </w:tc>
      </w:tr>
      <w:tr w14:paraId="4816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704" w:type="dxa"/>
            <w:shd w:val="clear" w:color="auto" w:fill="auto"/>
          </w:tcPr>
          <w:p w14:paraId="0B9201D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eastAsia="zh-CN"/>
                <w14:textFill>
                  <w14:solidFill>
                    <w14:schemeClr w14:val="tx1"/>
                  </w14:solidFill>
                </w14:textFill>
              </w:rPr>
              <w:t>）</w:t>
            </w:r>
          </w:p>
        </w:tc>
        <w:tc>
          <w:tcPr>
            <w:tcW w:w="1559" w:type="dxa"/>
            <w:shd w:val="clear" w:color="auto" w:fill="auto"/>
          </w:tcPr>
          <w:p w14:paraId="7B5C60D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用户授权</w:t>
            </w:r>
          </w:p>
        </w:tc>
        <w:tc>
          <w:tcPr>
            <w:tcW w:w="6259" w:type="dxa"/>
            <w:shd w:val="clear" w:color="auto" w:fill="auto"/>
          </w:tcPr>
          <w:p w14:paraId="21FB7DC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对用户授予资源访问权限，让用户登录以后，使用已授权的功能。</w:t>
            </w:r>
          </w:p>
        </w:tc>
      </w:tr>
    </w:tbl>
    <w:p w14:paraId="4E9ED225">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1.3</w:t>
      </w:r>
      <w:r>
        <w:rPr>
          <w:rFonts w:hint="eastAsia" w:ascii="宋体" w:hAnsi="宋体" w:eastAsia="宋体" w:cs="宋体"/>
          <w:color w:val="000000" w:themeColor="text1"/>
          <w:sz w:val="24"/>
          <w:szCs w:val="24"/>
          <w14:textFill>
            <w14:solidFill>
              <w14:schemeClr w14:val="tx1"/>
            </w14:solidFill>
          </w14:textFill>
        </w:rPr>
        <w:t>妇</w:t>
      </w:r>
      <w:r>
        <w:rPr>
          <w:rFonts w:hint="eastAsia" w:ascii="宋体" w:hAnsi="宋体" w:eastAsia="宋体" w:cs="宋体"/>
          <w:color w:val="000000" w:themeColor="text1"/>
          <w:sz w:val="24"/>
          <w:szCs w:val="24"/>
          <w:lang w:eastAsia="zh"/>
          <w14:textFill>
            <w14:solidFill>
              <w14:schemeClr w14:val="tx1"/>
            </w14:solidFill>
          </w14:textFill>
          <w:woUserID w:val="10"/>
        </w:rPr>
        <w:t>女</w:t>
      </w:r>
      <w:r>
        <w:rPr>
          <w:rFonts w:hint="eastAsia" w:ascii="宋体" w:hAnsi="宋体" w:eastAsia="宋体" w:cs="宋体"/>
          <w:color w:val="000000" w:themeColor="text1"/>
          <w:sz w:val="24"/>
          <w:szCs w:val="24"/>
          <w14:textFill>
            <w14:solidFill>
              <w14:schemeClr w14:val="tx1"/>
            </w14:solidFill>
          </w14:textFill>
        </w:rPr>
        <w:t>保健</w:t>
      </w:r>
      <w:r>
        <w:rPr>
          <w:rFonts w:hint="eastAsia" w:ascii="宋体" w:hAnsi="宋体" w:eastAsia="宋体" w:cs="宋体"/>
          <w:color w:val="000000" w:themeColor="text1"/>
          <w:sz w:val="24"/>
          <w:szCs w:val="24"/>
          <w:lang w:eastAsia="zh"/>
          <w14:textFill>
            <w14:solidFill>
              <w14:schemeClr w14:val="tx1"/>
            </w14:solidFill>
          </w14:textFill>
          <w:woUserID w:val="10"/>
        </w:rPr>
        <w:t>（需要相应的门诊病历、随访表、评分表、个人档案）</w:t>
      </w:r>
      <w:r>
        <w:rPr>
          <w:rFonts w:hint="eastAsia" w:ascii="宋体" w:hAnsi="宋体" w:eastAsia="宋体" w:cs="宋体"/>
          <w:color w:val="000000" w:themeColor="text1"/>
          <w:sz w:val="24"/>
          <w:szCs w:val="24"/>
          <w:lang w:val="en-US" w:eastAsia="zh-CN"/>
          <w14:textFill>
            <w14:solidFill>
              <w14:schemeClr w14:val="tx1"/>
            </w14:solidFill>
          </w14:textFill>
          <w:woUserID w:val="10"/>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43FA962">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woUserID w:val="10"/>
        </w:rPr>
        <w:t>1.</w:t>
      </w:r>
      <w:r>
        <w:rPr>
          <w:rFonts w:hint="eastAsia" w:ascii="宋体" w:hAnsi="宋体" w:eastAsia="宋体" w:cs="宋体"/>
          <w:color w:val="000000" w:themeColor="text1"/>
          <w:sz w:val="24"/>
          <w:szCs w:val="24"/>
          <w:lang w:eastAsia="zh"/>
          <w14:textFill>
            <w14:solidFill>
              <w14:schemeClr w14:val="tx1"/>
            </w14:solidFill>
          </w14:textFill>
          <w:woUserID w:val="10"/>
        </w:rPr>
        <w:t>3.1</w:t>
      </w:r>
      <w:r>
        <w:rPr>
          <w:rFonts w:hint="eastAsia" w:ascii="宋体" w:hAnsi="宋体" w:eastAsia="宋体" w:cs="宋体"/>
          <w:color w:val="000000" w:themeColor="text1"/>
          <w:sz w:val="24"/>
          <w:szCs w:val="24"/>
          <w14:textFill>
            <w14:solidFill>
              <w14:schemeClr w14:val="tx1"/>
            </w14:solidFill>
          </w14:textFill>
        </w:rPr>
        <w:t>围绝经期（更年期）保健管理系统</w:t>
      </w:r>
    </w:p>
    <w:p w14:paraId="57E71C9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围绝经期保健管理</w:t>
      </w:r>
    </w:p>
    <w:p w14:paraId="34DF535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w:t>
      </w:r>
      <w:r>
        <w:rPr>
          <w:rFonts w:hint="eastAsia" w:ascii="宋体" w:hAnsi="宋体" w:eastAsia="宋体" w:cs="宋体"/>
          <w:color w:val="000000" w:themeColor="text1"/>
          <w:sz w:val="24"/>
          <w:szCs w:val="24"/>
          <w:lang w:eastAsia="zh"/>
          <w14:textFill>
            <w14:solidFill>
              <w14:schemeClr w14:val="tx1"/>
            </w14:solidFill>
          </w14:textFill>
        </w:rPr>
        <w:t>3.2 青春期保健管理</w:t>
      </w:r>
    </w:p>
    <w:p w14:paraId="3B50747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lang w:eastAsia="zh"/>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1.</w:t>
      </w:r>
      <w:r>
        <w:rPr>
          <w:rFonts w:hint="eastAsia" w:ascii="宋体" w:hAnsi="宋体" w:eastAsia="宋体" w:cs="宋体"/>
          <w:color w:val="000000" w:themeColor="text1"/>
          <w:sz w:val="24"/>
          <w:szCs w:val="24"/>
          <w:lang w:eastAsia="zh"/>
          <w14:textFill>
            <w14:solidFill>
              <w14:schemeClr w14:val="tx1"/>
            </w14:solidFill>
          </w14:textFill>
        </w:rPr>
        <w:t>3.3 两癌筛查管理</w:t>
      </w:r>
    </w:p>
    <w:p w14:paraId="4C730008">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1.4</w:t>
      </w:r>
      <w:r>
        <w:rPr>
          <w:rFonts w:hint="eastAsia" w:ascii="宋体" w:hAnsi="宋体" w:eastAsia="宋体" w:cs="宋体"/>
          <w:color w:val="000000" w:themeColor="text1"/>
          <w:sz w:val="24"/>
          <w:szCs w:val="24"/>
          <w14:textFill>
            <w14:solidFill>
              <w14:schemeClr w14:val="tx1"/>
            </w14:solidFill>
          </w14:textFill>
        </w:rPr>
        <w:t>门诊医生系统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72D50613">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总体技术要求</w:t>
      </w:r>
    </w:p>
    <w:p w14:paraId="7156F89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B/S架构。</w:t>
      </w:r>
      <w:bookmarkStart w:id="26" w:name="_GoBack"/>
      <w:bookmarkEnd w:id="26"/>
    </w:p>
    <w:p w14:paraId="308AC1A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支持与HIS系统并用又能独立升级。</w:t>
      </w:r>
    </w:p>
    <w:p w14:paraId="5633B13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支持服务器缓存技术以规避软件长期使用后可能会出现的卡顿问题。</w:t>
      </w:r>
    </w:p>
    <w:p w14:paraId="1822F98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操作流程需符合门诊医生的SOAP看病思维。</w:t>
      </w:r>
    </w:p>
    <w:p w14:paraId="10CC7D4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支持与门诊病历融为一个主页界面中（非弹窗方式），门诊病历自动生成，无需单独书写。</w:t>
      </w:r>
    </w:p>
    <w:p w14:paraId="0FEDD0B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采用当前的主流开发技术，能够在国产操作系统下运行。极端情况下，能应对当前国际形势可能带来的过度依赖Windows风险。</w:t>
      </w:r>
    </w:p>
    <w:p w14:paraId="316D263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支持权限管理，可对现有系统所有功能模块及使用系统的医生角色进行快速的权限对应，实现临床科室更高效的人员管理，有助于工作效率的提升。</w:t>
      </w:r>
    </w:p>
    <w:p w14:paraId="30E64CB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支持服务控制台统一管理应用服务器安装、升级。</w:t>
      </w:r>
    </w:p>
    <w:p w14:paraId="0E19735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用户权限管理</w:t>
      </w:r>
    </w:p>
    <w:p w14:paraId="016B14F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支持HIS系统用户导入，与HIS共用用户。</w:t>
      </w:r>
    </w:p>
    <w:p w14:paraId="0411313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支持权限角色管理，针对不同用户群体设置不同权限。</w:t>
      </w:r>
    </w:p>
    <w:p w14:paraId="58472BA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支持用户角色管理，针对不同用户设置不同角色的权限。</w:t>
      </w:r>
    </w:p>
    <w:p w14:paraId="3D62B09F">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基础配置管理</w:t>
      </w:r>
    </w:p>
    <w:p w14:paraId="0E1EAB2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支持统一的数据源管理，针对门诊中使用的不同数据源进行配置。</w:t>
      </w:r>
    </w:p>
    <w:p w14:paraId="4999373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支持专用账户连接数据库。</w:t>
      </w:r>
    </w:p>
    <w:p w14:paraId="15E7DB0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支持统一的系统参数管理，针对不同应用场景和方式设置不同参数。</w:t>
      </w:r>
    </w:p>
    <w:p w14:paraId="7AC9544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支持门诊使用报表管理，针对不同的角色使用不同的报表。</w:t>
      </w:r>
    </w:p>
    <w:p w14:paraId="18B4353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支持心理科病人隐私控制，心理科病人病情特殊，心理情况不想被其他人知晓。历史就诊信息中不显示“心理科”的历史就诊记录。</w:t>
      </w:r>
    </w:p>
    <w:p w14:paraId="546A42A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支持特殊病历隐私控制，允许医生对病人指定接诊病历进行特殊病历保护。</w:t>
      </w:r>
    </w:p>
    <w:p w14:paraId="7E2AE41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支持统一的URL配置</w:t>
      </w:r>
    </w:p>
    <w:p w14:paraId="4E7E4BAF">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基础数据管理</w:t>
      </w:r>
    </w:p>
    <w:p w14:paraId="5E2A4AE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支持自定义门诊病历段配置管理，针对不同门诊科室或专科科室设置不同的病历格式，进行自定义配置门诊病历格式。</w:t>
      </w:r>
    </w:p>
    <w:p w14:paraId="17890B1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支持自定义门诊病历配置段导入导出，可批量导出或导入自定义病历配置段。</w:t>
      </w:r>
    </w:p>
    <w:p w14:paraId="7F7C270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支持门诊病历界面配置管理，针对不同院区、不同科室、个人的门诊病历格式进行管理，适配不同医院针对门诊病历的个性化设</w:t>
      </w:r>
      <w:r>
        <w:rPr>
          <w:rFonts w:hint="eastAsia" w:ascii="宋体" w:hAnsi="宋体" w:eastAsia="宋体" w:cs="宋体"/>
          <w:color w:val="000000" w:themeColor="text1"/>
          <w:sz w:val="24"/>
          <w:szCs w:val="24"/>
          <w14:textFill>
            <w14:solidFill>
              <w14:schemeClr w14:val="tx1"/>
            </w14:solidFill>
          </w14:textFill>
        </w:rPr>
        <w:t>置。</w:t>
      </w:r>
    </w:p>
    <w:p w14:paraId="58F2536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支持门诊病历范文管理，针对不同科室不同病历范文的集中查阅管理。</w:t>
      </w:r>
    </w:p>
    <w:p w14:paraId="63761C5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支持门诊病历范文审批修订，由专人审核通过后的病历范文才能使用。</w:t>
      </w:r>
    </w:p>
    <w:p w14:paraId="4529F67E">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门诊病历范文管理</w:t>
      </w:r>
    </w:p>
    <w:p w14:paraId="75E2252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支持个人病历范文模板新增、修改、删除。</w:t>
      </w:r>
    </w:p>
    <w:p w14:paraId="7FB819C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支持科室病历范文模板新增、修改、删除，同时需专人审核通过后才能使用。</w:t>
      </w:r>
    </w:p>
    <w:p w14:paraId="54C2454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支持全院病历范文模板新增、修改、删除，同时需专人审核通过后才能使用。</w:t>
      </w:r>
    </w:p>
    <w:p w14:paraId="3BE9A2F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支持设置多个病历范文模板。</w:t>
      </w:r>
    </w:p>
    <w:p w14:paraId="0D1DD19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门诊病历范文有权限控制，不同角色可管理门诊病历范文范围不同。</w:t>
      </w:r>
    </w:p>
    <w:p w14:paraId="4BFDA0D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门诊病历管理</w:t>
      </w:r>
    </w:p>
    <w:p w14:paraId="5C10009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病历段管理</w:t>
      </w:r>
    </w:p>
    <w:p w14:paraId="6CF297C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支持自定义门诊病历半结构化，支持文本、数字、选项、日期等类型数据存储、展示。</w:t>
      </w:r>
    </w:p>
    <w:p w14:paraId="31B6D7F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支持自定义配置段新增、修改、删除。</w:t>
      </w:r>
    </w:p>
    <w:p w14:paraId="4E86CFD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支持自定义配置段导入、导出。</w:t>
      </w:r>
    </w:p>
    <w:p w14:paraId="24E0CAD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支持自定义配置段实时预览。</w:t>
      </w:r>
    </w:p>
    <w:p w14:paraId="5ED2827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门诊病历界面配置</w:t>
      </w:r>
    </w:p>
    <w:p w14:paraId="4CE4837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支持按科室、医生个人就诊习惯显示不同的门诊病历界面。</w:t>
      </w:r>
    </w:p>
    <w:p w14:paraId="75957EA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支持门诊病历界面抬头自定义。</w:t>
      </w:r>
    </w:p>
    <w:p w14:paraId="032956A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支持门诊病历界面配置分享给其他科室使用。</w:t>
      </w:r>
    </w:p>
    <w:p w14:paraId="63EE8B0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支持门诊病历界面配置实时预览。</w:t>
      </w:r>
    </w:p>
    <w:p w14:paraId="239583A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支持门诊病历界面配置标准图片段和观察项</w:t>
      </w:r>
    </w:p>
    <w:p w14:paraId="39E7820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门诊医生站</w:t>
      </w:r>
    </w:p>
    <w:p w14:paraId="0174AF9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签到</w:t>
      </w:r>
    </w:p>
    <w:p w14:paraId="74804A2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支持根据院区、科室、诊室签到。</w:t>
      </w:r>
    </w:p>
    <w:p w14:paraId="78A8C8E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支持按签到范围显示接诊病人。</w:t>
      </w:r>
    </w:p>
    <w:p w14:paraId="7E2F2C8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支持快速切换签到其他科室。</w:t>
      </w:r>
    </w:p>
    <w:p w14:paraId="72CC8B0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支持医生签到后才能使用医生站。</w:t>
      </w:r>
    </w:p>
    <w:p w14:paraId="2BFDED0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支持【本人号】显示当天该医生出诊所有专科已挂号到医生头上的病人。</w:t>
      </w:r>
    </w:p>
    <w:p w14:paraId="477BC20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病人接诊</w:t>
      </w:r>
    </w:p>
    <w:p w14:paraId="71D0144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支持病人刷(电子健康卡、区域二维码、电子医保卡)接诊。</w:t>
      </w:r>
    </w:p>
    <w:p w14:paraId="56A70AC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支持病人接诊、完成接诊。</w:t>
      </w:r>
    </w:p>
    <w:p w14:paraId="6154B76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支持病人转诊。</w:t>
      </w:r>
    </w:p>
    <w:p w14:paraId="0A0BC43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支持病人强制续诊。</w:t>
      </w:r>
    </w:p>
    <w:p w14:paraId="0073C38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支持门诊患者排队呼叫、顺呼、重呼。</w:t>
      </w:r>
    </w:p>
    <w:p w14:paraId="7421FA4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支持门诊患者预约、挂号。</w:t>
      </w:r>
    </w:p>
    <w:p w14:paraId="568C1C0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支持门诊患者基本信息调整。</w:t>
      </w:r>
    </w:p>
    <w:p w14:paraId="581C765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支持关注特殊情况病人。</w:t>
      </w:r>
    </w:p>
    <w:p w14:paraId="56F49EC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支持接诊时由医生确定病人初复诊状态后才能书写病历和下达医嘱。</w:t>
      </w:r>
    </w:p>
    <w:p w14:paraId="017B1FF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支持接诊时同步护士在门诊分诊管理预开的医嘱信息。</w:t>
      </w:r>
    </w:p>
    <w:p w14:paraId="6B86160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支持候诊病人单击可查看历史就诊记录。</w:t>
      </w:r>
    </w:p>
    <w:p w14:paraId="120704F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支持就诊列表中显示病人状态图标。</w:t>
      </w:r>
    </w:p>
    <w:p w14:paraId="3255A28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支持合约单位病人先记帐后结帐的业务模式。</w:t>
      </w:r>
    </w:p>
    <w:p w14:paraId="1A494DD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支持超过挂号有效期，自动完成接诊。</w:t>
      </w:r>
    </w:p>
    <w:p w14:paraId="093B21E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支持病人转诊时打印转诊单据。</w:t>
      </w:r>
    </w:p>
    <w:p w14:paraId="3C9109C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支持强制续诊患者姓名可以进行简码搜索。</w:t>
      </w:r>
    </w:p>
    <w:p w14:paraId="233166E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病历书写</w:t>
      </w:r>
    </w:p>
    <w:p w14:paraId="39462BB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支持门诊病历分段式结构化展示。</w:t>
      </w:r>
    </w:p>
    <w:p w14:paraId="540836B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支持门诊病历段输入、修改。</w:t>
      </w:r>
    </w:p>
    <w:p w14:paraId="5A27000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支持插入历次就诊医嘱信息。</w:t>
      </w:r>
    </w:p>
    <w:p w14:paraId="2538598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支持门诊病历段快速定位。</w:t>
      </w:r>
    </w:p>
    <w:p w14:paraId="7DCF026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支持门诊病历段折叠，便于界面清爽。</w:t>
      </w:r>
    </w:p>
    <w:p w14:paraId="099C276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支持门诊病历书写实时保存。</w:t>
      </w:r>
    </w:p>
    <w:p w14:paraId="469F4E6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支持引用病历范文模板、引用上次就诊病历内容。</w:t>
      </w:r>
    </w:p>
    <w:p w14:paraId="688F14D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支持插入检验、检查报告。</w:t>
      </w:r>
    </w:p>
    <w:p w14:paraId="5420478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支持特殊门诊例如牙科恒牙标注、妇科月经史等特殊医学表达式插入。</w:t>
      </w:r>
    </w:p>
    <w:p w14:paraId="756455A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支持自定义快捷输入特殊符号。</w:t>
      </w:r>
    </w:p>
    <w:p w14:paraId="2536416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支持门诊病历新增、修改。</w:t>
      </w:r>
    </w:p>
    <w:p w14:paraId="2D77071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支持门诊病历签名、取消签名。</w:t>
      </w:r>
    </w:p>
    <w:p w14:paraId="4A5904C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支持门诊病历患者手写板签名。</w:t>
      </w:r>
    </w:p>
    <w:p w14:paraId="5419424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支持门诊病历打印后再修改病历流程。</w:t>
      </w:r>
    </w:p>
    <w:p w14:paraId="68114F0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支持门诊病历预览、打印。</w:t>
      </w:r>
    </w:p>
    <w:p w14:paraId="7B127FB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支持录入病人过敏记录。</w:t>
      </w:r>
    </w:p>
    <w:p w14:paraId="0FBA48B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支持病历段鼠标右键【复制】、【粘贴】、【剪切】功能。</w:t>
      </w:r>
    </w:p>
    <w:p w14:paraId="7884D8B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支持病历段【常用词句】功能。</w:t>
      </w:r>
    </w:p>
    <w:p w14:paraId="1B7AD9D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支持Tab键进入下一个录入段。</w:t>
      </w:r>
    </w:p>
    <w:p w14:paraId="5303122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历史病历</w:t>
      </w:r>
    </w:p>
    <w:p w14:paraId="37DC12D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支持病人历史病历显示。</w:t>
      </w:r>
    </w:p>
    <w:p w14:paraId="10CCD16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支持一键复制病人历史就诊记录达到快速就诊目的。</w:t>
      </w:r>
    </w:p>
    <w:p w14:paraId="1C8A0E7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支持对病人历史就诊记录补打病历、补打申请。</w:t>
      </w:r>
    </w:p>
    <w:p w14:paraId="7759F85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支持对病人历史就诊记录申请退费。</w:t>
      </w:r>
    </w:p>
    <w:p w14:paraId="585F7F5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支持查看历史病历时显示诊疗文书列表并支持点击预览。</w:t>
      </w:r>
    </w:p>
    <w:p w14:paraId="62A62F6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ca</w:t>
      </w:r>
    </w:p>
    <w:p w14:paraId="1C74B49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支持ca签名门诊病历、申请单等其他诊疗文书。</w:t>
      </w:r>
    </w:p>
    <w:p w14:paraId="4440031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支持ca移动签名门诊病历、申请单等其他诊疗文书。</w:t>
      </w:r>
    </w:p>
    <w:p w14:paraId="66C2FF6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门诊留观</w:t>
      </w:r>
    </w:p>
    <w:p w14:paraId="61CC731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支持门、急诊留观业务。</w:t>
      </w:r>
    </w:p>
    <w:p w14:paraId="7B6862C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特色应用</w:t>
      </w:r>
    </w:p>
    <w:p w14:paraId="6EA1ED7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支持双屏应用，在第二屏展示病人历次就诊信息。</w:t>
      </w:r>
    </w:p>
    <w:p w14:paraId="5520D10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支持诊室小屏应用，在第三屏幕上显示排队队列信息。</w:t>
      </w:r>
    </w:p>
    <w:p w14:paraId="66FF62F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支持输入法自动切换为英文输入模式，便于医嘱下达时根据简码快速找到项目。</w:t>
      </w:r>
    </w:p>
    <w:p w14:paraId="6E856A4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支持五笔简码匹配项目。</w:t>
      </w:r>
    </w:p>
    <w:p w14:paraId="0F4A6AD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支持界面护眼模式。</w:t>
      </w:r>
    </w:p>
    <w:p w14:paraId="34F0FC7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支持新手模式。</w:t>
      </w:r>
    </w:p>
    <w:p w14:paraId="1C11421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支持对齐显示医嘱，界面更整洁。</w:t>
      </w:r>
    </w:p>
    <w:p w14:paraId="5D2100F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支持消息提醒，危急值处理、染病阳性反馈处理、传染病报告卡返修处理等。</w:t>
      </w:r>
    </w:p>
    <w:p w14:paraId="562EB55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支持查看临床视图、病案查阅、诊疗参考。</w:t>
      </w:r>
    </w:p>
    <w:p w14:paraId="58EF612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支持帮助文档调阅。</w:t>
      </w:r>
    </w:p>
    <w:p w14:paraId="726F2F3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支持登录账户密码修改。</w:t>
      </w:r>
    </w:p>
    <w:p w14:paraId="2E73629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支持自定义诊室门口小屏界面。</w:t>
      </w:r>
    </w:p>
    <w:p w14:paraId="1B992BD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支持自定义西药选择器显示列。</w:t>
      </w:r>
    </w:p>
    <w:p w14:paraId="5E32D44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支持自定义登录界面背景图片。</w:t>
      </w:r>
    </w:p>
    <w:p w14:paraId="5F06A27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支持锁屏功能，一键锁屏、设定时间无操作自动锁屏。</w:t>
      </w:r>
    </w:p>
    <w:p w14:paraId="4DFC1B2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支持窗口组弹出浏览器窗口和询问框。</w:t>
      </w:r>
    </w:p>
    <w:p w14:paraId="5BAB8C93">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医嘱下达</w:t>
      </w:r>
    </w:p>
    <w:p w14:paraId="5F3CCD9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支持医嘱分类型下达检验、检查、处置、处方、配方、卫材申请。</w:t>
      </w:r>
    </w:p>
    <w:p w14:paraId="3AA7690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支持医嘱新增、修改、删除。</w:t>
      </w:r>
    </w:p>
    <w:p w14:paraId="437414B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支持医嘱申请单发送时打印、发送后补打。</w:t>
      </w:r>
    </w:p>
    <w:p w14:paraId="574BAA0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支持医嘱发送、作废。</w:t>
      </w:r>
    </w:p>
    <w:p w14:paraId="0CC626C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支持实时显示医嘱执行状态、计费状态等信息。</w:t>
      </w:r>
    </w:p>
    <w:p w14:paraId="28C9A90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支持复制他人医嘱。</w:t>
      </w:r>
    </w:p>
    <w:p w14:paraId="5B6584F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支持复制本人历史医嘱。</w:t>
      </w:r>
    </w:p>
    <w:p w14:paraId="60AB16B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支持发送检验检查医嘱后自动标记患者需回诊。</w:t>
      </w:r>
    </w:p>
    <w:p w14:paraId="1E93C85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实现以医嘱方式申请住院，生成住院申请单并将病人信息发送到住院处。</w:t>
      </w:r>
    </w:p>
    <w:p w14:paraId="2679AB9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门诊工作量数据可保存和自动统计，具备针对医生工作量、费用等各种信息的统计报表功能。</w:t>
      </w:r>
    </w:p>
    <w:p w14:paraId="24B88E9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支持实时查看皮试结果，并可根据皮试结果限制药品医嘱的发送。</w:t>
      </w:r>
    </w:p>
    <w:p w14:paraId="5743A67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支持医生手工标记皮试结果继用、皮试免试。</w:t>
      </w:r>
    </w:p>
    <w:p w14:paraId="59566BD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支持实时显示医嘱已执行、已收费状态。</w:t>
      </w:r>
    </w:p>
    <w:p w14:paraId="6372EE1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支持按病人医疗付款方式对应的价格等级（一级、二级、三级价格)计算费用。</w:t>
      </w:r>
    </w:p>
    <w:p w14:paraId="4B23E46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支持药袋费自动计算。</w:t>
      </w:r>
    </w:p>
    <w:p w14:paraId="3AFE48A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支持附加手术按折扣方案计费。</w:t>
      </w:r>
    </w:p>
    <w:p w14:paraId="483593C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支持按检验指标下达检验申请。</w:t>
      </w:r>
    </w:p>
    <w:p w14:paraId="4A72BE6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支持耐受试验检验申请。</w:t>
      </w:r>
    </w:p>
    <w:p w14:paraId="2EFEC34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支持使用同一病历模板的不同科室进行一键复制。</w:t>
      </w:r>
    </w:p>
    <w:p w14:paraId="7E96DA3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支持开检查医嘱时申请附项目获取病历内容。</w:t>
      </w:r>
    </w:p>
    <w:p w14:paraId="7C3ED5E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支持HIS数据检查方案</w:t>
      </w:r>
    </w:p>
    <w:p w14:paraId="11A21D3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p>
    <w:p w14:paraId="1346EC3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传染病上报</w:t>
      </w:r>
    </w:p>
    <w:p w14:paraId="22E1E1A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支持以ICD疾病编码下达诊断，并可根据诊断自动提示填写传染病报告卡。</w:t>
      </w:r>
    </w:p>
    <w:p w14:paraId="4E99FF4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支持医生主动选择传染病上报。</w:t>
      </w:r>
    </w:p>
    <w:p w14:paraId="04E2670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西医处方</w:t>
      </w:r>
    </w:p>
    <w:p w14:paraId="7C9798D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支持溶媒药房业务。</w:t>
      </w:r>
    </w:p>
    <w:p w14:paraId="5ED032E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支持特殊药品（毒、麻、精1）类药品下达后，根据毒理分类自动分配处方。</w:t>
      </w:r>
    </w:p>
    <w:p w14:paraId="743D688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支持毒麻等特殊药品的代办人身份信息录入功能。</w:t>
      </w:r>
    </w:p>
    <w:p w14:paraId="72DF43F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支持自动导入上次就诊填写的代办人信息。</w:t>
      </w:r>
    </w:p>
    <w:p w14:paraId="7A3EC3E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支持下达自备药。</w:t>
      </w:r>
    </w:p>
    <w:p w14:paraId="54ED594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支持院外电子处方流转业务。</w:t>
      </w:r>
    </w:p>
    <w:p w14:paraId="308761E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支持下达健康教育处方。</w:t>
      </w:r>
    </w:p>
    <w:p w14:paraId="54C36B4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中药配方</w:t>
      </w:r>
    </w:p>
    <w:p w14:paraId="67F6670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支持中草药处方录入、删除。</w:t>
      </w:r>
    </w:p>
    <w:p w14:paraId="72DAEC7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支持中医辨证论治。</w:t>
      </w:r>
    </w:p>
    <w:p w14:paraId="53ADFC7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支持选择中医配方、方剂等快速下达中药配方。</w:t>
      </w:r>
    </w:p>
    <w:p w14:paraId="54BBA22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支持从不同配方中选择草药进行组合</w:t>
      </w:r>
    </w:p>
    <w:p w14:paraId="3D49414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合理用药</w:t>
      </w:r>
    </w:p>
    <w:p w14:paraId="3E59618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支持合理用药检测（处方配伍禁忌、不良反应、相互作用、剂量审核）、合理用药审方。</w:t>
      </w:r>
    </w:p>
    <w:p w14:paraId="060089F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支持药品下达时调用药品说明书。</w:t>
      </w:r>
    </w:p>
    <w:p w14:paraId="5DB9622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支持合理用药审方消息显示时长。</w:t>
      </w:r>
    </w:p>
    <w:p w14:paraId="2BF67BE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常用项目</w:t>
      </w:r>
    </w:p>
    <w:p w14:paraId="29FD418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支持自动收集常用项目。</w:t>
      </w:r>
    </w:p>
    <w:p w14:paraId="73C80A1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支持常用项目快速下达医嘱。</w:t>
      </w:r>
    </w:p>
    <w:p w14:paraId="5C37448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常用项目新增搜索功能</w:t>
      </w:r>
    </w:p>
    <w:p w14:paraId="4F4DEAB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申请单模式</w:t>
      </w:r>
    </w:p>
    <w:p w14:paraId="7B31E38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支持检验、检查申请单方式开单。</w:t>
      </w:r>
    </w:p>
    <w:p w14:paraId="43F3116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支持检验申请单查看检验指标信息。</w:t>
      </w:r>
    </w:p>
    <w:p w14:paraId="5EEF886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项目选择器</w:t>
      </w:r>
    </w:p>
    <w:p w14:paraId="2650345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支持检验、检查、治疗、西药、中药项目选择器。</w:t>
      </w:r>
    </w:p>
    <w:p w14:paraId="6DF53A3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集中录入</w:t>
      </w:r>
    </w:p>
    <w:p w14:paraId="73C7EBF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支持集中录入医嘱方式，适用于不习惯分类型录入或不清楚医嘱项目类型的开单。</w:t>
      </w:r>
    </w:p>
    <w:p w14:paraId="57B4000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高值耗材</w:t>
      </w:r>
    </w:p>
    <w:p w14:paraId="2F71E74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支持高值耗材走备货流程。</w:t>
      </w:r>
    </w:p>
    <w:p w14:paraId="3FC28DB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支持高值耗材退费申请流程。</w:t>
      </w:r>
    </w:p>
    <w:p w14:paraId="25C3C08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支持高值耗材不走虚拟库房流程。</w:t>
      </w:r>
    </w:p>
    <w:p w14:paraId="61BD0DF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诊间支持</w:t>
      </w:r>
    </w:p>
    <w:p w14:paraId="2CCCEB2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支持诊间支付。</w:t>
      </w:r>
    </w:p>
    <w:p w14:paraId="4C65589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支持诊间支付仅显示执行科室为本科室的医嘱账单。</w:t>
      </w:r>
    </w:p>
    <w:p w14:paraId="670529A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变价项目</w:t>
      </w:r>
    </w:p>
    <w:p w14:paraId="4C1C6C8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支持变价项目发送时能修改价格。</w:t>
      </w:r>
    </w:p>
    <w:p w14:paraId="797C1DA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床旁术中</w:t>
      </w:r>
    </w:p>
    <w:p w14:paraId="2989983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支持标记床旁术中项目。</w:t>
      </w:r>
    </w:p>
    <w:p w14:paraId="1EA1FB4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医嘱执行</w:t>
      </w:r>
    </w:p>
    <w:p w14:paraId="4730D51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支持本科室执行的检查、治疗医嘱由医生标记已执行。</w:t>
      </w:r>
    </w:p>
    <w:p w14:paraId="376AA89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支持医嘱拒绝执行标记，用于患者要求不执行，有开单痕迹，医疗纠纷时用于佐证。</w:t>
      </w:r>
    </w:p>
    <w:p w14:paraId="11D2AAA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支持显示医嘱科室补录的医嘱信息。</w:t>
      </w:r>
    </w:p>
    <w:p w14:paraId="59E8D36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自管药管理</w:t>
      </w:r>
    </w:p>
    <w:p w14:paraId="13FDD52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支持临床自管药管理。</w:t>
      </w:r>
    </w:p>
    <w:p w14:paraId="0BE707B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中医诊断</w:t>
      </w:r>
    </w:p>
    <w:p w14:paraId="391EF8E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支持中医诊断新增、修改、删除。</w:t>
      </w:r>
    </w:p>
    <w:p w14:paraId="74407DF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支持收集医生常用中医诊断。</w:t>
      </w:r>
    </w:p>
    <w:p w14:paraId="692CDC0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支持引用病人历史中医诊断、上次中医诊断。</w:t>
      </w:r>
    </w:p>
    <w:p w14:paraId="4D4B6ED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支持中医诊断选择器。</w:t>
      </w:r>
    </w:p>
    <w:p w14:paraId="61E8960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西医诊断</w:t>
      </w:r>
    </w:p>
    <w:p w14:paraId="32CFAB6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支持西医诊断新增、修改、删除。</w:t>
      </w:r>
    </w:p>
    <w:p w14:paraId="63EEB49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支持收集医生常用西医诊断。</w:t>
      </w:r>
    </w:p>
    <w:p w14:paraId="579273C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支持引用病人历史西医诊断、上次西医诊断。</w:t>
      </w:r>
    </w:p>
    <w:p w14:paraId="74DC8EA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支持西医诊断选择器。</w:t>
      </w:r>
    </w:p>
    <w:p w14:paraId="4C5993B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报告查阅</w:t>
      </w:r>
    </w:p>
    <w:p w14:paraId="2385388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支持查阅检验、检查项目的报告结果。</w:t>
      </w:r>
    </w:p>
    <w:p w14:paraId="48D6C42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支持查阅检查项目观片影像。</w:t>
      </w:r>
    </w:p>
    <w:p w14:paraId="7230B51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支持集中查阅检验、检查报告。</w:t>
      </w:r>
    </w:p>
    <w:p w14:paraId="51A0C6F1">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支持单个/批量查看、插入检验报告可以通过服务获取微生物报告信息。</w:t>
      </w:r>
    </w:p>
    <w:p w14:paraId="446BF9D4">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急诊医生站</w:t>
      </w:r>
    </w:p>
    <w:p w14:paraId="7D5C080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支持标记绿色通道病人。</w:t>
      </w:r>
    </w:p>
    <w:p w14:paraId="4EAC5EA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支持病人先诊疗后付费就诊流程。</w:t>
      </w:r>
    </w:p>
    <w:p w14:paraId="45B8781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支持显示病人预检分诊分诊等级。</w:t>
      </w:r>
    </w:p>
    <w:p w14:paraId="50E436D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支持修改医嘱开单时间，便于急诊病人先就诊后补充医嘱。</w:t>
      </w:r>
    </w:p>
    <w:p w14:paraId="5E18B53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支持自动提取预检分诊录入的问诊信息、体征信息等。</w:t>
      </w:r>
    </w:p>
    <w:p w14:paraId="74EBDF8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支持绿色通道病人医嘱发送为记账单，先就诊再付费模式。</w:t>
      </w:r>
    </w:p>
    <w:p w14:paraId="17EB503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支持对已发药的记账单进行退费申请。</w:t>
      </w:r>
    </w:p>
    <w:p w14:paraId="588414F8">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支持急诊医生交接班功能。</w:t>
      </w:r>
    </w:p>
    <w:p w14:paraId="5E25456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成套方案管理</w:t>
      </w:r>
    </w:p>
    <w:p w14:paraId="56E3B1E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支持成套方案新增、修改、删除、</w:t>
      </w:r>
    </w:p>
    <w:p w14:paraId="782C6A3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支持成套方案启用、停用。</w:t>
      </w:r>
    </w:p>
    <w:p w14:paraId="5AF4B45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支持把病人开单另存成套，便于医生快捷使用。</w:t>
      </w:r>
    </w:p>
    <w:p w14:paraId="5C95EE3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成套方案有权限控制，不同角色可管理成套方案范围不同。</w:t>
      </w:r>
    </w:p>
    <w:p w14:paraId="7EDF8D43">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接口消息重发管理</w:t>
      </w:r>
    </w:p>
    <w:p w14:paraId="613B3DC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支持三方接口发送失败的消息重新发送。</w:t>
      </w:r>
    </w:p>
    <w:p w14:paraId="5EC71A2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临床数据中心</w:t>
      </w:r>
    </w:p>
    <w:p w14:paraId="20FB392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支持数据上传临床数据中心（CDR）。</w:t>
      </w:r>
    </w:p>
    <w:p w14:paraId="60CD1FA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单点登录</w:t>
      </w:r>
    </w:p>
    <w:p w14:paraId="38434AB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支持三方单点登录接入。</w:t>
      </w:r>
    </w:p>
    <w:p w14:paraId="27CEC24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三方外部系统集成</w:t>
      </w:r>
    </w:p>
    <w:p w14:paraId="41FF228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支持集成PACS。</w:t>
      </w:r>
    </w:p>
    <w:p w14:paraId="73DCC35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支持集成web挂号系统。</w:t>
      </w:r>
    </w:p>
    <w:p w14:paraId="773E340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支持集成web传染病上报系统。</w:t>
      </w:r>
    </w:p>
    <w:p w14:paraId="285EA12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支持集成web病案查阅系统。</w:t>
      </w:r>
    </w:p>
    <w:p w14:paraId="5159EA7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支持集成web临生免系统。</w:t>
      </w:r>
    </w:p>
    <w:p w14:paraId="01852DD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支持集成病理系统。</w:t>
      </w:r>
    </w:p>
    <w:p w14:paraId="6D3BD9E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支持集成web用血系统。</w:t>
      </w:r>
    </w:p>
    <w:p w14:paraId="2C2291F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支持集成web费用系统。</w:t>
      </w:r>
    </w:p>
    <w:p w14:paraId="45466E19">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支持集成web病历系统。</w:t>
      </w:r>
    </w:p>
    <w:p w14:paraId="39FA85D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支持集成规则知识库。</w:t>
      </w:r>
    </w:p>
    <w:p w14:paraId="5AEDF50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支持集成入院准备中心。</w:t>
      </w:r>
    </w:p>
    <w:p w14:paraId="75DEF36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支持集成开立权。</w:t>
      </w:r>
    </w:p>
    <w:p w14:paraId="052C7DA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支持集成通用日志系统。</w:t>
      </w:r>
    </w:p>
    <w:p w14:paraId="16DE25CD">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支持集成规则知识库。</w:t>
      </w:r>
    </w:p>
    <w:p w14:paraId="635CD5A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支持集成会诊管理系统。</w:t>
      </w:r>
    </w:p>
    <w:p w14:paraId="7B7E547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支持集成病人管理系统。</w:t>
      </w:r>
    </w:p>
    <w:p w14:paraId="387C4F4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支持集成医保管控系统。</w:t>
      </w:r>
    </w:p>
    <w:p w14:paraId="13FA00AE">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支持集成三方SPD系统。</w:t>
      </w:r>
    </w:p>
    <w:p w14:paraId="78F8DB4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支持集成医防协同上报系统。</w:t>
      </w:r>
    </w:p>
    <w:p w14:paraId="7E019C0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支持其他三方接入。</w:t>
      </w:r>
    </w:p>
    <w:p w14:paraId="1ECC3D1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支持三方exe程序调用。</w:t>
      </w:r>
    </w:p>
    <w:p w14:paraId="1C4FA4B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支持集成三方检验、检查报告查看。</w:t>
      </w:r>
    </w:p>
    <w:p w14:paraId="366FF89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支持三方检查报告观片功能。</w:t>
      </w:r>
    </w:p>
    <w:p w14:paraId="00A1BF5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支持嵌入显示检查检验报告内容，支持嵌入三方报告页面。</w:t>
      </w:r>
    </w:p>
    <w:p w14:paraId="5835017B">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支持三方排队呼叫配置</w:t>
      </w:r>
    </w:p>
    <w:p w14:paraId="0486A5F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支持检查按部位进行三方知识库的提示信息的展示</w:t>
      </w:r>
    </w:p>
    <w:p w14:paraId="3C9A220A">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支持集成HIS血库系统</w:t>
      </w:r>
    </w:p>
    <w:p w14:paraId="0018B8A5">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支持集成门急诊诊疗信息页系统</w:t>
      </w:r>
    </w:p>
    <w:p w14:paraId="4F7051B4">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支持集成就诊闭环查阅系统</w:t>
      </w:r>
    </w:p>
    <w:p w14:paraId="22FB565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b/>
      </w:r>
    </w:p>
    <w:p w14:paraId="1F2BF098">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三方知识库集成</w:t>
      </w:r>
    </w:p>
    <w:p w14:paraId="73B9B86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支持惠每知识库接入。</w:t>
      </w:r>
    </w:p>
    <w:p w14:paraId="36E448AC">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支持百度知识库接入。</w:t>
      </w:r>
    </w:p>
    <w:p w14:paraId="6EC4AEB2">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支持其他知识库接入。</w:t>
      </w:r>
    </w:p>
    <w:p w14:paraId="0A6ED60F">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合理用药集成</w:t>
      </w:r>
    </w:p>
    <w:p w14:paraId="5916A66F">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支持集成合理用药。</w:t>
      </w:r>
    </w:p>
    <w:p w14:paraId="54FBD7E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支持其他合理用药接入。</w:t>
      </w:r>
    </w:p>
    <w:p w14:paraId="5C958743">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互联网医院集成</w:t>
      </w:r>
    </w:p>
    <w:p w14:paraId="6F72FBD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支持集成互联网医院。</w:t>
      </w:r>
    </w:p>
    <w:p w14:paraId="29345387">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支持其他互联网医院接入。</w:t>
      </w:r>
    </w:p>
    <w:p w14:paraId="57753596">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1.5</w:t>
      </w:r>
      <w:r>
        <w:rPr>
          <w:rFonts w:hint="eastAsia" w:ascii="宋体" w:hAnsi="宋体" w:eastAsia="宋体" w:cs="宋体"/>
          <w:color w:val="000000" w:themeColor="text1"/>
          <w:sz w:val="24"/>
          <w:szCs w:val="24"/>
          <w14:textFill>
            <w14:solidFill>
              <w14:schemeClr w14:val="tx1"/>
            </w14:solidFill>
          </w14:textFill>
        </w:rPr>
        <w:t>一体化护理系统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4695A9A3">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B/S架构。</w:t>
      </w:r>
    </w:p>
    <w:p w14:paraId="7699AC80">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必须与HIS系统一体化应用。</w:t>
      </w:r>
    </w:p>
    <w:p w14:paraId="007BA5FC">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待办任务：</w:t>
      </w:r>
    </w:p>
    <w:p w14:paraId="229B7536">
      <w:pPr>
        <w:pageBreakBefore w:val="0"/>
        <w:kinsoku/>
        <w:wordWrap/>
        <w:overflowPunct/>
        <w:topLinePunct w:val="0"/>
        <w:autoSpaceDE/>
        <w:autoSpaceDN/>
        <w:bidi w:val="0"/>
        <w:adjustRightInd w:val="0"/>
        <w:snapToGrid w:val="0"/>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支持医嘱执行、评分评估、皮试结果记录、测量等不同类型的待办任务查看及执行；</w:t>
      </w:r>
    </w:p>
    <w:p w14:paraId="40EC6917">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消息提醒：</w:t>
      </w:r>
    </w:p>
    <w:p w14:paraId="48887FD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支持医嘱、医嘱自动发送失败、危急值提醒、检查预约、检验拒收、会诊申请等消息提醒；</w:t>
      </w:r>
    </w:p>
    <w:p w14:paraId="379D539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支持查看消息接收人、接收时间、接收情况等。</w:t>
      </w:r>
    </w:p>
    <w:p w14:paraId="299CA4B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病人入出转：</w:t>
      </w:r>
    </w:p>
    <w:p w14:paraId="7966F62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支持患者入住病区病床；</w:t>
      </w:r>
    </w:p>
    <w:p w14:paraId="7DFE774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支持患者转科、转病区；</w:t>
      </w:r>
    </w:p>
    <w:p w14:paraId="2631FC4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支持患者出院；</w:t>
      </w:r>
    </w:p>
    <w:p w14:paraId="66A775B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支持患者更换床位；</w:t>
      </w:r>
    </w:p>
    <w:p w14:paraId="415C1CD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支持病人入院登记；</w:t>
      </w:r>
    </w:p>
    <w:p w14:paraId="05CA32E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支持门诊留观病人入住；</w:t>
      </w:r>
    </w:p>
    <w:p w14:paraId="390F8B8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床位管理：</w:t>
      </w:r>
    </w:p>
    <w:p w14:paraId="2467A78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支持病区床位使用情况一览表（显示床号、住院号、姓名、性别、年龄、诊断、病情、评分结果、护理等级、医护人员、费用情况）；</w:t>
      </w:r>
    </w:p>
    <w:p w14:paraId="3793EE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支持同步展示病人床头卡，支持护理小组分配、病区床位办理、不良事件上报、高危风险提示。</w:t>
      </w:r>
    </w:p>
    <w:p w14:paraId="4137E82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医嘱处理：</w:t>
      </w:r>
    </w:p>
    <w:p w14:paraId="18D28F7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支持校对发送医嘱，查询、打印病区医嘱审核处理情况；</w:t>
      </w:r>
    </w:p>
    <w:p w14:paraId="60D78E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支持长期医嘱自动发送；</w:t>
      </w:r>
    </w:p>
    <w:p w14:paraId="487E865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支持医嘱校对、医嘱补校对、确认停止后的复核；</w:t>
      </w:r>
    </w:p>
    <w:p w14:paraId="38F3B22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支持医嘱超期回收，单条回退、批量回退；</w:t>
      </w:r>
    </w:p>
    <w:p w14:paraId="7806957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支持打印长期及临时医嘱单，同时支持续打；</w:t>
      </w:r>
    </w:p>
    <w:p w14:paraId="2FA147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支持打印、查询病区对药单（领/摆药单）支持对药单分类维护；</w:t>
      </w:r>
    </w:p>
    <w:p w14:paraId="593586A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支持打印、查询病区长期、临时医嘱治疗单（口服、注射、输液、辅助治疗等）、输液记录卡及瓶签，支持治疗单分类维护；</w:t>
      </w:r>
    </w:p>
    <w:p w14:paraId="757BC30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支持填写药品皮试结果；</w:t>
      </w:r>
    </w:p>
    <w:p w14:paraId="27F5E83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支持医嘱批量执行；</w:t>
      </w:r>
    </w:p>
    <w:p w14:paraId="1FDB606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支持查看药品说明书；</w:t>
      </w:r>
    </w:p>
    <w:p w14:paraId="3E0D122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支持医嘱校对核对、医嘱停止核对；</w:t>
      </w:r>
    </w:p>
    <w:p w14:paraId="167E1C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支持静配药品批量打包。</w:t>
      </w:r>
    </w:p>
    <w:p w14:paraId="7F13E0F8">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费用管理：</w:t>
      </w:r>
    </w:p>
    <w:p w14:paraId="38AA969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支持护士记账（一次性材料、治疗费等），具备模板功能；</w:t>
      </w:r>
    </w:p>
    <w:p w14:paraId="035FC22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支持销账申请，同时支持未执行医嘱自动审核，本科室已执行医嘱自动完成销账审核；</w:t>
      </w:r>
    </w:p>
    <w:p w14:paraId="0BA7F47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支持在医嘱校对、发送时调整价格、计费频率及首末日次数；</w:t>
      </w:r>
    </w:p>
    <w:p w14:paraId="455B1A3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支持住院费用清单（含每日费用清单）查询打印；</w:t>
      </w:r>
    </w:p>
    <w:p w14:paraId="530A13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支持查询病区欠费病人清单，打印催缴通知单；</w:t>
      </w:r>
    </w:p>
    <w:p w14:paraId="449981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支持病区费用批量记账；</w:t>
      </w:r>
    </w:p>
    <w:p w14:paraId="5005A5E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支持持续性计费。例如：持续性吸氧等；</w:t>
      </w:r>
    </w:p>
    <w:p w14:paraId="03BA81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支持成套记账，可自定义维护成套记账方案；</w:t>
      </w:r>
    </w:p>
    <w:p w14:paraId="24FAC1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支持在床旁完成病人费用结算。</w:t>
      </w:r>
    </w:p>
    <w:p w14:paraId="42F0DF8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支持对单个病人的新开新停、检查检验、自动计费等费用核对；</w:t>
      </w:r>
    </w:p>
    <w:p w14:paraId="2DBCF97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支持自定义设置输液费计费规则设置，根据规则自动计算穿刺费、续瓶费、卫材费。</w:t>
      </w:r>
    </w:p>
    <w:p w14:paraId="45BC2560">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护理记录：</w:t>
      </w:r>
    </w:p>
    <w:p w14:paraId="5DF29C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支持患者体温单录入和打印，支持特殊标注和历史记录查看；</w:t>
      </w:r>
    </w:p>
    <w:p w14:paraId="3F5B958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支持以周为时间单位，快速检索查询患者体温；</w:t>
      </w:r>
    </w:p>
    <w:p w14:paraId="3784D84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支持不同专科科室、不同方式的护理记录单批量录入和打印，同时支持病区护理记录的批量记录、批量审签；</w:t>
      </w:r>
    </w:p>
    <w:p w14:paraId="7E68F88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支持体温单和护理记录单数据同步；</w:t>
      </w:r>
    </w:p>
    <w:p w14:paraId="1C130E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支持病人入出量记录；</w:t>
      </w:r>
    </w:p>
    <w:p w14:paraId="221BC0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支持对患者“八点血糖记录”，（即早餐前后、午餐前后、晚餐前后、睡前、凌晨三点）并支持上级护士对血糖记录进行审核；</w:t>
      </w:r>
    </w:p>
    <w:p w14:paraId="1DB14AD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支持护理记录时，插入医嘱内容、检验检查报告、输血等内容。</w:t>
      </w:r>
    </w:p>
    <w:p w14:paraId="3590297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支持护理记录满页打印；</w:t>
      </w:r>
    </w:p>
    <w:p w14:paraId="76947A0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出入量支持医嘱实入量、给液量录入；</w:t>
      </w:r>
    </w:p>
    <w:p w14:paraId="391A1B5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支持双签、审签，且支持医生账户双签；</w:t>
      </w:r>
    </w:p>
    <w:p w14:paraId="39968B87">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评估评分：</w:t>
      </w:r>
    </w:p>
    <w:p w14:paraId="5F738E1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支持提供成人和儿童的入/出院评估单（成人/儿童），提供结构化的入/出院评估单，可配置，易维护；</w:t>
      </w:r>
    </w:p>
    <w:p w14:paraId="6F1FC0B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支持同时完成多项评分表；</w:t>
      </w:r>
    </w:p>
    <w:p w14:paraId="3031A9B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支持符合国家护理电子病历文书标准，通过勾选的方式进行评估；</w:t>
      </w:r>
    </w:p>
    <w:p w14:paraId="7C498F6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支持评分评估书写、预览、打印格式统一；</w:t>
      </w:r>
    </w:p>
    <w:p w14:paraId="2D0F30C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Morse跌倒量表（MFS）、Braden评估表（成人）、BradenQ评估表（儿童）、手术压力性损伤危险评估表（Waterlow评分）、ADL日常生活活动能力评估单、谵妄筛查量表（NU-DESC）、心血管评估系统、深静脉血栓评估表（Autar修订量表）、GLASGOW评分、APACHE-Ⅱ评分、WATERLOW评分、NORTON诺顿评分、住院患者营养风险筛查表、糖尿病自我管理行为量表（SDSCA）等专科评估内容</w:t>
      </w:r>
    </w:p>
    <w:p w14:paraId="3ACFB59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支持审签、CA签名、患者签名；</w:t>
      </w:r>
    </w:p>
    <w:p w14:paraId="4D760D2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评分评估支持所见所得方式展示及打印；</w:t>
      </w:r>
    </w:p>
    <w:p w14:paraId="44E3DDA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支持暂存功能；</w:t>
      </w:r>
    </w:p>
    <w:p w14:paraId="74BAF78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3B6E829">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交班报告：</w:t>
      </w:r>
    </w:p>
    <w:p w14:paraId="5AF538F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支持病区概况如入院人数、出院人数、危重病人等数据的自动提取；</w:t>
      </w:r>
    </w:p>
    <w:p w14:paraId="0C9683C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支持按病区、按科室进行交接班，完成交接班报告的填写。</w:t>
      </w:r>
    </w:p>
    <w:p w14:paraId="0549C69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7A54D7F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护理计划：</w:t>
      </w:r>
    </w:p>
    <w:p w14:paraId="23EDE64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支持各专科护理计划知识库，根据所选计划知识库，制定相应的护理处理措施；</w:t>
      </w:r>
    </w:p>
    <w:p w14:paraId="78A86A5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支持符合客户实际的护理计划新增、修改、维护；</w:t>
      </w:r>
    </w:p>
    <w:p w14:paraId="7004740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支持对护理计划进行评价；</w:t>
      </w:r>
    </w:p>
    <w:p w14:paraId="75E51F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支持填写护录记录时根据护理计划提醒规则，提醒护士填写护理计划。</w:t>
      </w:r>
    </w:p>
    <w:p w14:paraId="71E3C5E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健康宣教</w:t>
      </w:r>
    </w:p>
    <w:p w14:paraId="4A2B121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针对患者的健康宣教执行情况进行记录。</w:t>
      </w:r>
    </w:p>
    <w:p w14:paraId="7161F5F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检验采集：</w:t>
      </w:r>
    </w:p>
    <w:p w14:paraId="5625D70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支持条码绑定、打印；</w:t>
      </w:r>
    </w:p>
    <w:p w14:paraId="04B605E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支持标本采集；</w:t>
      </w:r>
    </w:p>
    <w:p w14:paraId="560E104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支持标本送检；</w:t>
      </w:r>
    </w:p>
    <w:p w14:paraId="7493D3C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支持使用预制条码；</w:t>
      </w:r>
    </w:p>
    <w:p w14:paraId="662F6A0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支持查看当前病区标本拒收情况。</w:t>
      </w:r>
    </w:p>
    <w:p w14:paraId="4403835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5D31AB7">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护理会诊：</w:t>
      </w:r>
    </w:p>
    <w:p w14:paraId="1EB4C4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支持多病区协同会诊，针对会诊流程和所需要会诊的患者，填写会诊文书</w:t>
      </w:r>
    </w:p>
    <w:p w14:paraId="17E19E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支持会诊申请、反馈情况的记录</w:t>
      </w:r>
    </w:p>
    <w:p w14:paraId="458AD18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护士档案：</w:t>
      </w:r>
    </w:p>
    <w:p w14:paraId="7995A60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支持护理人员信息查询、编辑、图片上传、档案导入；</w:t>
      </w:r>
    </w:p>
    <w:p w14:paraId="7D1011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支持按病区护理人员信息查询；</w:t>
      </w:r>
    </w:p>
    <w:p w14:paraId="6C7927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支持护理人员的变动信息的登记和查询。变动信息包括：状态变动（离职、调离、职称变动、教育信息、病区变动、继续教育、科研专利、获奖情况、论文著作）等等；</w:t>
      </w:r>
    </w:p>
    <w:p w14:paraId="7EFA213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支持护理人员的工作经历、兼职情况记录；</w:t>
      </w:r>
    </w:p>
    <w:p w14:paraId="5CD951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支持护理人员相关数据统计；</w:t>
      </w:r>
    </w:p>
    <w:p w14:paraId="1818E5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支持外派、实习等无账号人员的维护，便于排班；</w:t>
      </w:r>
    </w:p>
    <w:p w14:paraId="0E20DB1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护理路径：</w:t>
      </w:r>
    </w:p>
    <w:p w14:paraId="1D80E1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支持查看本病区护理路径的执行情况；</w:t>
      </w:r>
    </w:p>
    <w:p w14:paraId="74648D3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支持护理路径生成、执行。</w:t>
      </w:r>
    </w:p>
    <w:p w14:paraId="508AFD0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出院事院：</w:t>
      </w:r>
    </w:p>
    <w:p w14:paraId="7F18F0D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支持对护理文档归档、撤销归档；</w:t>
      </w:r>
    </w:p>
    <w:p w14:paraId="7ADC745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支持出院患者的护理文书自动归档；</w:t>
      </w:r>
    </w:p>
    <w:p w14:paraId="76693B8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支持对未欠费患者进行床旁结算（非现金结算）；</w:t>
      </w:r>
    </w:p>
    <w:p w14:paraId="3E1E5E6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2E174DBC">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管道管路管理：</w:t>
      </w:r>
    </w:p>
    <w:p w14:paraId="4F0DFC5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支持通过医嘱直接导入；</w:t>
      </w:r>
    </w:p>
    <w:p w14:paraId="669758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支持针对病人的管道进行流程管理，从病人置管、记录护理过程观察情况、风险评估、拔管，并支持管道护理记录的打印。</w:t>
      </w:r>
    </w:p>
    <w:p w14:paraId="571E686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支持患者管道滑脱风险评估，并支持上级护士对滑脱风险评估进行审核；</w:t>
      </w:r>
    </w:p>
    <w:p w14:paraId="4497F7C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针对非计划拔管有原因确认及弹出不良事件上报的填写</w:t>
      </w:r>
    </w:p>
    <w:p w14:paraId="15098E9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支持病区管道统计汇总；</w:t>
      </w:r>
    </w:p>
    <w:p w14:paraId="2AB130D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支持患者管道引流量的24小时自动汇总。</w:t>
      </w:r>
    </w:p>
    <w:p w14:paraId="6AAC9CF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压力性损伤管理：</w:t>
      </w:r>
    </w:p>
    <w:p w14:paraId="7B0DEA1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支持患者压力性损伤评分；</w:t>
      </w:r>
    </w:p>
    <w:p w14:paraId="5FDB8AE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支持对压力性损伤的观察记录以及上级护士对观察记录进行审核、巡视以及情况追踪；</w:t>
      </w:r>
    </w:p>
    <w:p w14:paraId="046D235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支持患者难免压疮申报；</w:t>
      </w:r>
    </w:p>
    <w:p w14:paraId="69F10BB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支持自定义压力性损伤、难免压力性损伤审核流程并审核；</w:t>
      </w:r>
    </w:p>
    <w:p w14:paraId="5F5AEF7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支持发生的压疮不良事件（院内）上报。</w:t>
      </w:r>
    </w:p>
    <w:p w14:paraId="3EA100A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跌倒管理：</w:t>
      </w:r>
    </w:p>
    <w:p w14:paraId="41A37D8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支持患者坠床跌倒评分；</w:t>
      </w:r>
    </w:p>
    <w:p w14:paraId="38149DD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对跌倒/坠床评分高风险患者统一管理；</w:t>
      </w:r>
    </w:p>
    <w:p w14:paraId="09F7C7C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支持发生跌倒/坠床事件登记，记录详细原因，提供整改措施及效果评价</w:t>
      </w:r>
    </w:p>
    <w:p w14:paraId="01B7D7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支持发生跌倒/坠床事件不良事件（院内）上报，针对发生原因、整改措施及效果提供报表分析，为有效的预防措施提供整改依据</w:t>
      </w:r>
    </w:p>
    <w:p w14:paraId="04C53C40">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护士排班：</w:t>
      </w:r>
    </w:p>
    <w:p w14:paraId="1DA5114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支持病区护士排班，批量调整班次，支持与护理资质绑定，自动判断每个班是否符合的资质要求；</w:t>
      </w:r>
    </w:p>
    <w:p w14:paraId="6093EFA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支持通过直接轮班或轮人两种模式实现快速完成周排班；</w:t>
      </w:r>
    </w:p>
    <w:p w14:paraId="265EA13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支持护理人员请假审核、加扣班管理；</w:t>
      </w:r>
    </w:p>
    <w:p w14:paraId="175BA99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支持护理学员的带教排班；</w:t>
      </w:r>
    </w:p>
    <w:p w14:paraId="32854A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支持护理组长标记功能，护士长特殊符号突出显示；</w:t>
      </w:r>
    </w:p>
    <w:p w14:paraId="3E7A037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支持患者床位分配管理；</w:t>
      </w:r>
    </w:p>
    <w:p w14:paraId="69E3FBD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支持病区护士排班表的查询；</w:t>
      </w:r>
    </w:p>
    <w:p w14:paraId="6A42555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支持排班数量、排班时长统计。</w:t>
      </w:r>
    </w:p>
    <w:p w14:paraId="0DD1588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不良事件管理：</w:t>
      </w:r>
    </w:p>
    <w:p w14:paraId="333D1B8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支持对发生的不良事件院内上报</w:t>
      </w:r>
    </w:p>
    <w:p w14:paraId="4A564C5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支持针对护理隐患（未发生），护理不良事件（已发生）：给药错误、针刺伤、护理投诉、护理事故、烫伤、压疮、高危压疮、坠床、跌倒、药物外渗、管道滑脱等情况进行的上报、管理、整改分析</w:t>
      </w:r>
    </w:p>
    <w:p w14:paraId="6BBB327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支持护士长、护理部对不良事件的审核、情况追踪及管理</w:t>
      </w:r>
    </w:p>
    <w:p w14:paraId="078CEE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支持不同不良事件类型可自定义需填写的内容</w:t>
      </w:r>
    </w:p>
    <w:p w14:paraId="44B5F9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可设置常用的事件类型，名称方便快捷选择</w:t>
      </w:r>
    </w:p>
    <w:p w14:paraId="143AE8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支持不良事件统计分析并生成相应统计图，可分月份、护理单元统计不良事件情况</w:t>
      </w:r>
    </w:p>
    <w:p w14:paraId="32F4A2B4">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质量抽查：</w:t>
      </w:r>
    </w:p>
    <w:p w14:paraId="6E1290D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支持病房质量检查填报；病房各类ADL、跌倒、压疮等风险评估报表填报并实行护理部三级监控管理；</w:t>
      </w:r>
    </w:p>
    <w:p w14:paraId="594B131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支持对各病区的质量自查与抽查；</w:t>
      </w:r>
    </w:p>
    <w:p w14:paraId="30295AB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支持对所有护理质量评分存在问题的记录汇总显示，供护理部查看；</w:t>
      </w:r>
    </w:p>
    <w:p w14:paraId="3D89D8C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支持检查项目指标的管理和维护；</w:t>
      </w:r>
    </w:p>
    <w:p w14:paraId="6C4E09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支持扣分项目以不同颜色标识；</w:t>
      </w:r>
    </w:p>
    <w:p w14:paraId="08DEEB4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支持自定义审核流程及审核；</w:t>
      </w:r>
    </w:p>
    <w:p w14:paraId="6AF53F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支持院级对问题提出整改措施；针对院级整改措施支持科室查看。</w:t>
      </w:r>
    </w:p>
    <w:p w14:paraId="5D9ED94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敏感指标统计分析：</w:t>
      </w:r>
    </w:p>
    <w:p w14:paraId="3203097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支持按病区进行敏感指标填报；</w:t>
      </w:r>
    </w:p>
    <w:p w14:paraId="398EA6F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支持护理部查看、核对各病区、全院的敏感指标填报数据并修改。</w:t>
      </w:r>
    </w:p>
    <w:p w14:paraId="30A84D4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3A9D784">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1.6</w:t>
      </w:r>
      <w:r>
        <w:rPr>
          <w:rFonts w:hint="eastAsia" w:ascii="宋体" w:hAnsi="宋体" w:eastAsia="宋体" w:cs="宋体"/>
          <w:color w:val="000000" w:themeColor="text1"/>
          <w:sz w:val="24"/>
          <w:szCs w:val="24"/>
          <w14:textFill>
            <w14:solidFill>
              <w14:schemeClr w14:val="tx1"/>
            </w14:solidFill>
          </w14:textFill>
        </w:rPr>
        <w:t>体检管理系统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65BDAF4E">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总体技术要求</w:t>
      </w:r>
    </w:p>
    <w:p w14:paraId="38FB20B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bookmarkStart w:id="18" w:name="OLE_LINK3"/>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bookmarkEnd w:id="18"/>
      <w:r>
        <w:rPr>
          <w:rFonts w:hint="eastAsia" w:ascii="宋体" w:hAnsi="宋体" w:eastAsia="宋体" w:cs="宋体"/>
          <w:color w:val="000000" w:themeColor="text1"/>
          <w:sz w:val="24"/>
          <w:szCs w:val="24"/>
          <w14:textFill>
            <w14:solidFill>
              <w14:schemeClr w14:val="tx1"/>
            </w14:solidFill>
          </w14:textFill>
        </w:rPr>
        <w:t>B/S架构。</w:t>
      </w:r>
    </w:p>
    <w:p w14:paraId="152232F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支持体检中心独立应用、体检中心分科应用、体检中心和HIS关联应用以及分科应用和HIS关联应用混合应用等多种应用模式。</w:t>
      </w:r>
    </w:p>
    <w:p w14:paraId="5C091F1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支持与HIS系统建立熔断机制以保障意外情况下临床业务不受影响。</w:t>
      </w:r>
    </w:p>
    <w:p w14:paraId="64F9AF0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支持支持多维度、灵活、可配置的访问授权控制体系，体检科可对不同业务场景、不同角色、不同访问方式等进行权限控制。</w:t>
      </w:r>
    </w:p>
    <w:p w14:paraId="59BBC5C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支持服务器缓存技术以规避软件长期使用后可能会出现的卡顿问题。</w:t>
      </w:r>
    </w:p>
    <w:p w14:paraId="139F4C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支持体检各业务流程操作日志的全记录。含时间、地点、操作员、操作动作，操作内容等。</w:t>
      </w:r>
    </w:p>
    <w:p w14:paraId="613DB8E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支持错误日志的全记录。含时间、地点、操作员、操作动作，错误内容等。</w:t>
      </w:r>
    </w:p>
    <w:p w14:paraId="17EB347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支持接口操作日志的全记录。含入出参数，转换前、转换后的记录等。</w:t>
      </w:r>
    </w:p>
    <w:p w14:paraId="3549463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支持基础数据的数据修改痕迹全记录。</w:t>
      </w:r>
    </w:p>
    <w:p w14:paraId="5717D5F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支持签字或审核后的数据修改痕迹全记录。</w:t>
      </w:r>
    </w:p>
    <w:p w14:paraId="4879509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支持体检业务范围内的位置（楼、楼层、层区、房间）的注册管理。</w:t>
      </w:r>
    </w:p>
    <w:p w14:paraId="71153FC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支持体检业务范围内的服务点（电脑、设备、服务窗口）的注册管理。</w:t>
      </w:r>
    </w:p>
    <w:p w14:paraId="573C21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支持操作人员位置及服务点管理。</w:t>
      </w:r>
    </w:p>
    <w:p w14:paraId="38E43A1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基于《职业健康监护技术规范》国标(GBZ 188-2014)打造的职业病、职业禁忌体检专项支持，职业病符合度推荐规则按照职业病诊断标准定义。</w:t>
      </w:r>
    </w:p>
    <w:p w14:paraId="2696760E">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体检团队/人员管理</w:t>
      </w:r>
    </w:p>
    <w:p w14:paraId="753BB2C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支持新增、修改、删除、启用、停用团队。</w:t>
      </w:r>
    </w:p>
    <w:p w14:paraId="0E4759C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支持新增、修改、删除、启用、停用个别团队人员。</w:t>
      </w:r>
    </w:p>
    <w:p w14:paraId="624B47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支持查找定位个人或团体。</w:t>
      </w:r>
    </w:p>
    <w:p w14:paraId="7D1286B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支持设置可预约人数。</w:t>
      </w:r>
    </w:p>
    <w:p w14:paraId="4AC708D9">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团队任务管理</w:t>
      </w:r>
    </w:p>
    <w:p w14:paraId="50AB5C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功能介绍：团队团队分组，团队人员和团队项目、人员项目维护。</w:t>
      </w:r>
    </w:p>
    <w:p w14:paraId="58F921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支持新增、修改、删除团队任务。</w:t>
      </w:r>
    </w:p>
    <w:p w14:paraId="687A52A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支持查询已登记团体任务。</w:t>
      </w:r>
    </w:p>
    <w:p w14:paraId="37C196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支持体检分组设置，可根据不同体检类型、不同体检套餐等条件设置分组规则。</w:t>
      </w:r>
    </w:p>
    <w:p w14:paraId="18C8D0A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支持团队人员批量导入、支持导入职业分组、职普混检导入、职职导入、导入自动校验、导入时根据分组条件自动分组。</w:t>
      </w:r>
    </w:p>
    <w:p w14:paraId="6AF9717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支持单个和批量新增分组人员，新增人员时，支持刷身份证录入人员基本信息。</w:t>
      </w:r>
    </w:p>
    <w:p w14:paraId="7E835B3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支持分组项目和个人项目的统一控制和独立控制。</w:t>
      </w:r>
    </w:p>
    <w:p w14:paraId="104F3D9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结算方式支持单位结算、个人结算和单位外个人结算。</w:t>
      </w:r>
    </w:p>
    <w:p w14:paraId="4AFAF0B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支持界面参数控制单位人员是否允许替检、是否允许混检。</w:t>
      </w:r>
    </w:p>
    <w:p w14:paraId="17F1B0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支持调整单个项目和整体项目金额或折扣。</w:t>
      </w:r>
    </w:p>
    <w:p w14:paraId="2E08B53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支持团队新增/退预交金。</w:t>
      </w:r>
    </w:p>
    <w:p w14:paraId="1F1D8E8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支持设置分组签约金额、支持同步分组签约金额</w:t>
      </w:r>
    </w:p>
    <w:p w14:paraId="4BF1685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支持锁定任务</w:t>
      </w:r>
    </w:p>
    <w:p w14:paraId="073CE4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支持查询人员统计信息情况，可根据报到时间、体检号、姓名、部门、体检状态、收费状态、性别和婚姻状况查询、导出人员</w:t>
      </w:r>
    </w:p>
    <w:p w14:paraId="461B43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支持团队人员复查任务自动建立复查分组</w:t>
      </w:r>
    </w:p>
    <w:p w14:paraId="1EF5EDF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支持批量打印人员指引单、条码、申请单、支持补打人员条码</w:t>
      </w:r>
    </w:p>
    <w:p w14:paraId="5BB6AF8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职业病支持导入时，无匹配分组自动新建分组并导入对应分组内</w:t>
      </w:r>
    </w:p>
    <w:p w14:paraId="0A790B51">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体检登记</w:t>
      </w:r>
    </w:p>
    <w:p w14:paraId="60B3CF2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功能介绍：主要用于开单护士录入体检人员相关信息，包括但不限于录入基本信息、体检项目信息、拍取照片、打印指引单、补录项目。</w:t>
      </w:r>
    </w:p>
    <w:p w14:paraId="6D1F1C3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支持刷身份证自动填充姓名、性别、身份证号、民族、联系地址和照片文本框，支持拍照功能。</w:t>
      </w:r>
    </w:p>
    <w:p w14:paraId="5D8AD01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支持历史任务查询，可通过刷身份证、录入姓名、身份证号查找数据库存在的信息。</w:t>
      </w:r>
    </w:p>
    <w:p w14:paraId="315DAE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支持根据套餐设置不同规则，显示不同套餐。</w:t>
      </w:r>
    </w:p>
    <w:p w14:paraId="720D09F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支持职业病体检类型选择危害因素，根据规则自动获取体检项目。</w:t>
      </w:r>
    </w:p>
    <w:p w14:paraId="794384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支持复制他人/上次/单位的体检项目。</w:t>
      </w:r>
    </w:p>
    <w:p w14:paraId="2E325E2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支持调整单个项目和整体项目金额或折扣。</w:t>
      </w:r>
    </w:p>
    <w:p w14:paraId="5D53EE9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支持计费后自动打印指引单、健康检查表，支持打印申请单、缴费单、条码、职业健康检查表。</w:t>
      </w:r>
    </w:p>
    <w:p w14:paraId="77F4F59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支持实时自动计算采集费并展示采集费明细。</w:t>
      </w:r>
    </w:p>
    <w:p w14:paraId="0B7D85E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支持vip客户先体检后付费。</w:t>
      </w:r>
    </w:p>
    <w:p w14:paraId="6987D59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支持人员关键信息加密。</w:t>
      </w:r>
    </w:p>
    <w:p w14:paraId="1B1A3C2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采用门诊号唯一，体检号独立规则。</w:t>
      </w:r>
    </w:p>
    <w:p w14:paraId="588186E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支持人员缴费后，程序将人员自动报到，即：缴费后立即入列体检。</w:t>
      </w:r>
    </w:p>
    <w:p w14:paraId="7C20CEE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支持体检流程进度图表查看。</w:t>
      </w:r>
    </w:p>
    <w:p w14:paraId="11AECB0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支持单个项目退费。</w:t>
      </w:r>
    </w:p>
    <w:p w14:paraId="79B004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支持查看卫材发料明细。</w:t>
      </w:r>
    </w:p>
    <w:p w14:paraId="70BC4D4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支持个人预交金。</w:t>
      </w:r>
    </w:p>
    <w:p w14:paraId="02EC8D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支持团队人员费用补差。</w:t>
      </w:r>
    </w:p>
    <w:p w14:paraId="47FB890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支持一览人员历次体检登记情况。</w:t>
      </w:r>
    </w:p>
    <w:p w14:paraId="17C5F03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支持根据选择不同问卷模板，录入人员健康问卷情况。</w:t>
      </w:r>
    </w:p>
    <w:p w14:paraId="1F9CA6A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支持接入签字版。</w:t>
      </w:r>
    </w:p>
    <w:p w14:paraId="57B20B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支持多院区等级费用。</w:t>
      </w:r>
    </w:p>
    <w:p w14:paraId="64623F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支持职业病人脸识别并检索人员信息</w:t>
      </w:r>
    </w:p>
    <w:p w14:paraId="283BCE8E">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体检预约管理</w:t>
      </w:r>
    </w:p>
    <w:p w14:paraId="196FD47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功能介绍：用于对当前体检中心下对待体检人员进行预约服务，可通过电话预约、现场预约、微信预约方式进行预约。</w:t>
      </w:r>
    </w:p>
    <w:p w14:paraId="72357E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支持预约信息一览。</w:t>
      </w:r>
    </w:p>
    <w:p w14:paraId="09491F8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支持多平台分时段预约号源共享。</w:t>
      </w:r>
    </w:p>
    <w:p w14:paraId="554AEA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支持根据院区、科室、部门查询可预约号源和预约信息查询。</w:t>
      </w:r>
    </w:p>
    <w:p w14:paraId="360708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支持查询人员预约信息。</w:t>
      </w:r>
    </w:p>
    <w:p w14:paraId="46CED76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支持查询微信体检人员预约情况。</w:t>
      </w:r>
    </w:p>
    <w:p w14:paraId="0829DA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支持通过读就诊卡、身份证查询人员，支持录入人员基本信息查询。</w:t>
      </w:r>
    </w:p>
    <w:p w14:paraId="48A357FF">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体检替检</w:t>
      </w:r>
    </w:p>
    <w:p w14:paraId="3D73AA3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支持个人替检。</w:t>
      </w:r>
    </w:p>
    <w:p w14:paraId="19555B3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支持团体人员替检。</w:t>
      </w:r>
    </w:p>
    <w:p w14:paraId="7A98398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支持部分项目替检。</w:t>
      </w:r>
    </w:p>
    <w:p w14:paraId="3CE3918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支持替检者报告与原体检人报告分开出。</w:t>
      </w:r>
    </w:p>
    <w:p w14:paraId="015316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支持团队金额用于他人替检使用。</w:t>
      </w:r>
    </w:p>
    <w:p w14:paraId="6B83BB69">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分检医生站</w:t>
      </w:r>
    </w:p>
    <w:p w14:paraId="37B98E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功能介绍：主要用于分检医生对人员检查后，填写项目结果、体检结论建议等。</w:t>
      </w:r>
    </w:p>
    <w:p w14:paraId="6499C48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支持分科录入体检结果。</w:t>
      </w:r>
    </w:p>
    <w:p w14:paraId="7A15AC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支持正常结果一键录入。</w:t>
      </w:r>
    </w:p>
    <w:p w14:paraId="2C974B2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支持单个/多个执行项目。</w:t>
      </w:r>
    </w:p>
    <w:p w14:paraId="4329D46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支持体检结果缺省值填充、结果模板导入、获取设备项目结果。</w:t>
      </w:r>
    </w:p>
    <w:p w14:paraId="36C7569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支持异常结果显示提醒。</w:t>
      </w:r>
    </w:p>
    <w:p w14:paraId="185144B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支持查看人员的历史检查结果及趋势对比。</w:t>
      </w:r>
    </w:p>
    <w:p w14:paraId="00C59E8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支持根据指标结果在评估规则条件里自动生成结论建议。.</w:t>
      </w:r>
    </w:p>
    <w:p w14:paraId="385FABE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支持设置LIS/PACS项目匹配码自动生成结论建议。</w:t>
      </w:r>
    </w:p>
    <w:p w14:paraId="4951ED3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支持模糊搜索结论、自定义修改结论。</w:t>
      </w:r>
    </w:p>
    <w:p w14:paraId="6705724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支持对项目延期操作。</w:t>
      </w:r>
    </w:p>
    <w:p w14:paraId="56FDE2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支持查看人员电子病案。</w:t>
      </w:r>
    </w:p>
    <w:p w14:paraId="64F40BC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支持查看当前操作人员当前科室的工作量统计。</w:t>
      </w:r>
    </w:p>
    <w:p w14:paraId="01758C1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支持通过参数控制未收费是否允许分检。</w:t>
      </w:r>
    </w:p>
    <w:p w14:paraId="158B44C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支持根据选择不同问卷模板，录入人员健康问卷情况。</w:t>
      </w:r>
    </w:p>
    <w:p w14:paraId="1ADAC05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支持对体检人员进行批量分检。</w:t>
      </w:r>
    </w:p>
    <w:p w14:paraId="5511AF7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支持职业病人脸识别并检索人员信息。</w:t>
      </w:r>
    </w:p>
    <w:p w14:paraId="2285795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支持对项目指标重要异常结果标记。</w:t>
      </w:r>
    </w:p>
    <w:p w14:paraId="758C6ED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2786354F">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体检理单</w:t>
      </w:r>
    </w:p>
    <w:p w14:paraId="62B7D8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功能介绍：对分科医生审核后的结果，检查数据正确性和完整性。</w:t>
      </w:r>
    </w:p>
    <w:p w14:paraId="41F9F80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支持对体检结果手工补录。</w:t>
      </w:r>
    </w:p>
    <w:p w14:paraId="2DABEC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支持支持结果默认值。</w:t>
      </w:r>
    </w:p>
    <w:p w14:paraId="37A61F9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支持词条选择。</w:t>
      </w:r>
    </w:p>
    <w:p w14:paraId="7B16091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支持修改痕迹记录。</w:t>
      </w:r>
    </w:p>
    <w:p w14:paraId="17689F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支持收集其它系统(包含LIS、PACS)回传结果。</w:t>
      </w:r>
    </w:p>
    <w:p w14:paraId="23A90B2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支持体检理单的过程的记录。</w:t>
      </w:r>
    </w:p>
    <w:p w14:paraId="271CF7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支持危急值查询。</w:t>
      </w:r>
    </w:p>
    <w:p w14:paraId="1D4C4B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支持统计查询、病案、检验单查询。</w:t>
      </w:r>
    </w:p>
    <w:p w14:paraId="13026E4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支持批量保存、撤销人员项目结果</w:t>
      </w:r>
    </w:p>
    <w:p w14:paraId="5F4D3A6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支持查看人员检验报告单、PACS图片、三方心电图预览</w:t>
      </w:r>
    </w:p>
    <w:p w14:paraId="30C5C25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支持一览人员体检状态、理单状态</w:t>
      </w:r>
    </w:p>
    <w:p w14:paraId="2DBCEC9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支持项目弃检、取消弃检</w:t>
      </w:r>
    </w:p>
    <w:p w14:paraId="43CDB2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支持根据指标结果在评估规则条件里自动生成结论建议。</w:t>
      </w:r>
    </w:p>
    <w:p w14:paraId="4553260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支持对项目指标重要异常结果标记。</w:t>
      </w:r>
    </w:p>
    <w:p w14:paraId="21E74D7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个人体检总检</w:t>
      </w:r>
    </w:p>
    <w:p w14:paraId="41937D1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功能介绍：总检医生对分检医生录入的结果进行校验，修改/汇总结论建议操作。</w:t>
      </w:r>
    </w:p>
    <w:p w14:paraId="5231967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支持查看其它系统(包含LIS、PACS)回传的结果。</w:t>
      </w:r>
    </w:p>
    <w:p w14:paraId="53655FC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支持自动收集分科检查结论。</w:t>
      </w:r>
    </w:p>
    <w:p w14:paraId="7317BF9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支持按规则/匹配码自动生成总检结论。</w:t>
      </w:r>
    </w:p>
    <w:p w14:paraId="711CDD9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支持自定义修改结论、合并结论、拆分已合并的结论。</w:t>
      </w:r>
    </w:p>
    <w:p w14:paraId="7B6DC17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支持根据结论按照规则自动排序。</w:t>
      </w:r>
    </w:p>
    <w:p w14:paraId="3CA3194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支持根据总检结果结论通过知识库生成健康建议，可自定义修改建议。</w:t>
      </w:r>
    </w:p>
    <w:p w14:paraId="580E14D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支持查看当前人员历次检查结果及趋势对比。</w:t>
      </w:r>
    </w:p>
    <w:p w14:paraId="2F4301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支持异常指标深色显示。</w:t>
      </w:r>
    </w:p>
    <w:p w14:paraId="38A72E0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支持增加随访管理、随访计划和结果通知。</w:t>
      </w:r>
    </w:p>
    <w:p w14:paraId="009E292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支持查看PACS报告图、三方心电图。</w:t>
      </w:r>
    </w:p>
    <w:p w14:paraId="4E9E5A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支持收集单个项目结果。</w:t>
      </w:r>
    </w:p>
    <w:p w14:paraId="2BF9E86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针对职业病总检，支持展示相关职业病信息，提供总检医生参考。</w:t>
      </w:r>
    </w:p>
    <w:p w14:paraId="2D5491F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支持查看当前操作人员当前科室的工作量统计。</w:t>
      </w:r>
    </w:p>
    <w:p w14:paraId="2070FB4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支持预览人员体检问卷情况。</w:t>
      </w:r>
    </w:p>
    <w:p w14:paraId="296412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支持增加人员复查任务，支持自动打印复查凭证。</w:t>
      </w:r>
    </w:p>
    <w:p w14:paraId="7F1B3F0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支持查看人员复查项目</w:t>
      </w:r>
    </w:p>
    <w:p w14:paraId="534F31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支持预览人员体检报告，支持总检完成后自动打印人员体检报告</w:t>
      </w:r>
    </w:p>
    <w:p w14:paraId="202778D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支持查看人员危急值查询、危急值处理情况</w:t>
      </w:r>
    </w:p>
    <w:p w14:paraId="2554897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支持历史结果对比</w:t>
      </w:r>
    </w:p>
    <w:p w14:paraId="372A18C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支持对项目指标重要异常结果标记。</w:t>
      </w:r>
    </w:p>
    <w:p w14:paraId="650685B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6452A2E">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个人总检审核</w:t>
      </w:r>
    </w:p>
    <w:p w14:paraId="666FF8F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功能介绍：对总检结果进行审核，保证总检结果的正确性。</w:t>
      </w:r>
    </w:p>
    <w:p w14:paraId="70AF9F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支持体检报告多级审核。</w:t>
      </w:r>
    </w:p>
    <w:p w14:paraId="1C984DA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支持修改痕迹记录。</w:t>
      </w:r>
    </w:p>
    <w:p w14:paraId="19E6C1E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支持查看当前操作人员当前科室的工作量统计。</w:t>
      </w:r>
    </w:p>
    <w:p w14:paraId="44A8848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支持审核完成后，自动生成人员体检报告。</w:t>
      </w:r>
    </w:p>
    <w:p w14:paraId="0FF19DF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支持预览人员体检报告，支持总检完成后自动打印人员体检报告。</w:t>
      </w:r>
    </w:p>
    <w:p w14:paraId="4346D66A">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团队体检总检</w:t>
      </w:r>
    </w:p>
    <w:p w14:paraId="0F9C82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功能介绍：团队人员总检完成后，对团队下人员结论进行汇总处理，以方便后续团队出报告。</w:t>
      </w:r>
    </w:p>
    <w:p w14:paraId="02506B8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支持按团队体检类型总检。</w:t>
      </w:r>
    </w:p>
    <w:p w14:paraId="6239A58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支持按年龄段、性别等人员信息统计。</w:t>
      </w:r>
    </w:p>
    <w:p w14:paraId="588F3E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支持按阳性结果统计。</w:t>
      </w:r>
    </w:p>
    <w:p w14:paraId="0A4C50B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支持生成团队报告，支持可视化编辑。</w:t>
      </w:r>
    </w:p>
    <w:p w14:paraId="2CC05338">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体检签离</w:t>
      </w:r>
    </w:p>
    <w:p w14:paraId="694558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功能介绍：人员完成体检或离开医院，将指引单放到签离点，护士进行签离操作。</w:t>
      </w:r>
    </w:p>
    <w:p w14:paraId="2467835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支持查看人员体检流程进度。</w:t>
      </w:r>
    </w:p>
    <w:p w14:paraId="32269E0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支持查看人员全部项目和未执行项目。</w:t>
      </w:r>
    </w:p>
    <w:p w14:paraId="0E899B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支持对人员项目进行弃检、延期操作。</w:t>
      </w:r>
    </w:p>
    <w:p w14:paraId="5025547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支持体检完成确认及签离。</w:t>
      </w:r>
    </w:p>
    <w:p w14:paraId="432580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支持人员批量签离</w:t>
      </w:r>
    </w:p>
    <w:p w14:paraId="10B1C00B">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体检报告管理</w:t>
      </w:r>
    </w:p>
    <w:p w14:paraId="0E212D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功能介绍：用于审核、打印和补打人员体检报告</w:t>
      </w:r>
    </w:p>
    <w:p w14:paraId="29CC26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支持自定义个人及团队报告显示样式。</w:t>
      </w:r>
    </w:p>
    <w:p w14:paraId="17F7413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支持展示有危急值的项目。</w:t>
      </w:r>
    </w:p>
    <w:p w14:paraId="038E581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支持生成报告、审核报告、打印报告、PDF输出、Excel导出。</w:t>
      </w:r>
    </w:p>
    <w:p w14:paraId="06D6342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支持单页打印、双页打印报告。</w:t>
      </w:r>
    </w:p>
    <w:p w14:paraId="629BDF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支持补打报告(报告右上角显示“补打”字样)。</w:t>
      </w:r>
    </w:p>
    <w:p w14:paraId="10DA7D8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支持查询打印记录。</w:t>
      </w:r>
    </w:p>
    <w:p w14:paraId="290E95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支持报告文件多格式输出。</w:t>
      </w:r>
    </w:p>
    <w:p w14:paraId="2F7E10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支持报告多客户端查看。</w:t>
      </w:r>
    </w:p>
    <w:p w14:paraId="124DE15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支持体检报告批量打印、支持按照顺序打印、循环打印</w:t>
      </w:r>
    </w:p>
    <w:p w14:paraId="50C9B01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支持查看人员职业病检查记录情况</w:t>
      </w:r>
    </w:p>
    <w:p w14:paraId="6474A5F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体检报告签收</w:t>
      </w:r>
    </w:p>
    <w:p w14:paraId="6A0FBF2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打功能介绍：报告后，根据医院内部管理模式，对打印的报告进行签收</w:t>
      </w:r>
    </w:p>
    <w:p w14:paraId="7924635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支持对个人/团队报告单个或批量签收。</w:t>
      </w:r>
    </w:p>
    <w:p w14:paraId="0404520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支持对个人/团队报告单个或批量撤销签收。</w:t>
      </w:r>
    </w:p>
    <w:p w14:paraId="34CBCA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支持展示个人/团队报告代签收数量。</w:t>
      </w:r>
    </w:p>
    <w:p w14:paraId="092E43C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支持展示有危急值的报告。</w:t>
      </w:r>
    </w:p>
    <w:p w14:paraId="4EE9FD5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支持报告定位功能。</w:t>
      </w:r>
    </w:p>
    <w:p w14:paraId="01A884E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支持根据不同体检类型分类展示。</w:t>
      </w:r>
    </w:p>
    <w:p w14:paraId="38FEDE98">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体检报告发放</w:t>
      </w:r>
    </w:p>
    <w:p w14:paraId="24AE36C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功能介绍：将已签收的报告放到发放点，发给体检人员</w:t>
      </w:r>
    </w:p>
    <w:p w14:paraId="4A7923A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支持对个人/团队报告单个或批量发放。</w:t>
      </w:r>
    </w:p>
    <w:p w14:paraId="2459749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支持对个人/团队报告单个或批量取消发放。</w:t>
      </w:r>
    </w:p>
    <w:p w14:paraId="16DAA4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支持展示个人/团队报告代签收数量。</w:t>
      </w:r>
    </w:p>
    <w:p w14:paraId="5CD8BAE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支持展示有危急值的报告。</w:t>
      </w:r>
    </w:p>
    <w:p w14:paraId="0186C2A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支持报告定位功能。</w:t>
      </w:r>
    </w:p>
    <w:p w14:paraId="29E643E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支持根据不同体检类型分类展示。</w:t>
      </w:r>
    </w:p>
    <w:p w14:paraId="01C6E5F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支持报告代领。</w:t>
      </w:r>
    </w:p>
    <w:p w14:paraId="4670B777">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体检团队结算</w:t>
      </w:r>
    </w:p>
    <w:p w14:paraId="6D3B2F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功能介绍：针对团队任务进行费用结算、退费操作。</w:t>
      </w:r>
    </w:p>
    <w:p w14:paraId="1289049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支持分任务结算、部分结算、全部结算。</w:t>
      </w:r>
    </w:p>
    <w:p w14:paraId="2D81692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支持混合支付结算，支付方式可选择现价、支付宝、微信、预交金。</w:t>
      </w:r>
    </w:p>
    <w:p w14:paraId="58AC9AC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支持退费操作和退费查询。</w:t>
      </w:r>
    </w:p>
    <w:p w14:paraId="70BB477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支持已结算查询，包含结算状态为全部、开始结算、部分完成。</w:t>
      </w:r>
    </w:p>
    <w:p w14:paraId="5BB1AB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支持根据体检状态、未检项目、体检分组、体检类型、报到/登记时间过滤</w:t>
      </w:r>
    </w:p>
    <w:p w14:paraId="4A16A0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支持一个账单拆分多次结算。</w:t>
      </w:r>
    </w:p>
    <w:p w14:paraId="611CAC4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统计查询工作站</w:t>
      </w:r>
    </w:p>
    <w:p w14:paraId="2409382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支持指引单流向查询。</w:t>
      </w:r>
    </w:p>
    <w:p w14:paraId="10BC9B7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支持已签离未总检查询。</w:t>
      </w:r>
    </w:p>
    <w:p w14:paraId="2EA4256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支持体检人员情况查询。</w:t>
      </w:r>
    </w:p>
    <w:p w14:paraId="6A3AC03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支持项目执行情况查询。</w:t>
      </w:r>
    </w:p>
    <w:p w14:paraId="6AED17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支持体检人数统计查询。</w:t>
      </w:r>
    </w:p>
    <w:p w14:paraId="24A037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支持报到人数统计。</w:t>
      </w:r>
    </w:p>
    <w:p w14:paraId="317FFA42">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微信公众号</w:t>
      </w:r>
    </w:p>
    <w:p w14:paraId="15B08E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支持填写问卷调查，系统自动推荐体检项目。</w:t>
      </w:r>
    </w:p>
    <w:p w14:paraId="314DB95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支持选择体检套餐并显示该套餐的项目。</w:t>
      </w:r>
    </w:p>
    <w:p w14:paraId="0DCB15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支持用户自定义添加体检项目。</w:t>
      </w:r>
    </w:p>
    <w:p w14:paraId="42FBBE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支持预约体检。</w:t>
      </w:r>
    </w:p>
    <w:p w14:paraId="4EC5249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支付方式支持微信支付和到医院支付。</w:t>
      </w:r>
    </w:p>
    <w:p w14:paraId="7C1918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支持退款功能。</w:t>
      </w:r>
    </w:p>
    <w:p w14:paraId="69CC20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支持在线领取报告和查询历史体检报告。</w:t>
      </w:r>
    </w:p>
    <w:p w14:paraId="5704492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通过套餐、或单个项目新增。</w:t>
      </w:r>
    </w:p>
    <w:p w14:paraId="5A77B51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支持个人、团队人员预约体检，支持团队人员新增项目时“补差”模式</w:t>
      </w:r>
    </w:p>
    <w:p w14:paraId="3D6BDF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支持个人体检报告下载到手机。</w:t>
      </w:r>
    </w:p>
    <w:p w14:paraId="6E735D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支持手机扫码填写职业问卷。</w:t>
      </w:r>
    </w:p>
    <w:p w14:paraId="5AD423E5">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职业病体检</w:t>
      </w:r>
    </w:p>
    <w:p w14:paraId="1771E76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支持基础数据职业数据字典知识库、危害因素等维护。</w:t>
      </w:r>
    </w:p>
    <w:p w14:paraId="07C815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支持职业体检登记时，录入检查阶段、危害因素根据规则自动获取体检项目。</w:t>
      </w:r>
    </w:p>
    <w:p w14:paraId="21E4B5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团队任务支持职业团检名单批量导入，支持根据分组的检查类型、检查阶段和危害因素在导入名单时自动分组。</w:t>
      </w:r>
    </w:p>
    <w:p w14:paraId="5E0B745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支持职业体检问卷录入、打印，问卷在报告中体现等。</w:t>
      </w:r>
    </w:p>
    <w:p w14:paraId="787BA1C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支持职业体检专项工作站：纯音测听工作站。</w:t>
      </w:r>
    </w:p>
    <w:p w14:paraId="39FAE7A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支持职业总检，展示人员职业病信息，生成职业检查结论等。</w:t>
      </w:r>
    </w:p>
    <w:p w14:paraId="6996A64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支持职业体检复查，历次复查项目在报告体现等。</w:t>
      </w:r>
    </w:p>
    <w:p w14:paraId="5376924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支持职业个人报告、职业团队报告并支持个性化设计报告。</w:t>
      </w:r>
    </w:p>
    <w:p w14:paraId="06D620A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支持职业病上报，国家疾控平台接口。</w:t>
      </w:r>
    </w:p>
    <w:p w14:paraId="5FB0953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支持与中卫信职业病平台交互直接上报，国家疾控平台接口。</w:t>
      </w:r>
    </w:p>
    <w:p w14:paraId="14594F4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143FB2A">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总检分配</w:t>
      </w:r>
    </w:p>
    <w:p w14:paraId="68074A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功能介绍：将已经分检完成的人员，进行分配给总检医生</w:t>
      </w:r>
    </w:p>
    <w:p w14:paraId="7AD3648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支持查看理单完成和分检完成的人员</w:t>
      </w:r>
    </w:p>
    <w:p w14:paraId="1AC492D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支持单个人员分配和批量分配、扫码分配</w:t>
      </w:r>
    </w:p>
    <w:p w14:paraId="02422F6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支持取消分配、重新分配</w:t>
      </w:r>
    </w:p>
    <w:p w14:paraId="402242F6">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医保平台查询工作站</w:t>
      </w:r>
    </w:p>
    <w:p w14:paraId="7D6FB3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医保支持体检结果消息上传</w:t>
      </w:r>
    </w:p>
    <w:p w14:paraId="414463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支持体检数据汇总查询</w:t>
      </w:r>
    </w:p>
    <w:p w14:paraId="7798B19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支持体检结算数据查询</w:t>
      </w:r>
    </w:p>
    <w:p w14:paraId="37E15C0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支持可选项目数据查询</w:t>
      </w:r>
    </w:p>
    <w:p w14:paraId="5B94235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支持定点预约人员查询</w:t>
      </w:r>
    </w:p>
    <w:p w14:paraId="5D1C1C7D">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职业团队总检</w:t>
      </w:r>
    </w:p>
    <w:p w14:paraId="1A7DD27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对职业团队的人员进行总检</w:t>
      </w:r>
    </w:p>
    <w:p w14:paraId="6800A82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支持预览职业团队总检报告</w:t>
      </w:r>
    </w:p>
    <w:p w14:paraId="7C40AAF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支持打印职业团队总检报到</w:t>
      </w:r>
    </w:p>
    <w:p w14:paraId="57EC107C">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自助体检</w:t>
      </w:r>
    </w:p>
    <w:p w14:paraId="164152F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支持已预约的体检人员在自助机上报到</w:t>
      </w:r>
    </w:p>
    <w:p w14:paraId="6318B97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支持打印指引单、条码、健康表</w:t>
      </w:r>
    </w:p>
    <w:p w14:paraId="46905EC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支持在自助机上自主拍照</w:t>
      </w:r>
    </w:p>
    <w:p w14:paraId="2B91C46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支持身份证号、就诊卡、体检号、门诊号检索预约信息</w:t>
      </w:r>
    </w:p>
    <w:p w14:paraId="122771EA">
      <w:pPr>
        <w:pageBreakBefore w:val="0"/>
        <w:kinsoku/>
        <w:wordWrap/>
        <w:overflowPunct/>
        <w:topLinePunct w:val="0"/>
        <w:autoSpaceDE/>
        <w:autoSpaceDN/>
        <w:bidi w:val="0"/>
        <w:adjustRightInd w:val="0"/>
        <w:snapToGrid w:val="0"/>
        <w:ind w:left="0" w:firstLine="482" w:firstLineChars="200"/>
        <w:rPr>
          <w:rFonts w:hint="eastAsia" w:ascii="宋体" w:hAnsi="宋体" w:eastAsia="宋体" w:cs="宋体"/>
          <w:b/>
          <w:bCs/>
          <w:color w:val="000000" w:themeColor="text1"/>
          <w:sz w:val="24"/>
          <w:szCs w:val="24"/>
          <w14:textFill>
            <w14:solidFill>
              <w14:schemeClr w14:val="tx1"/>
            </w14:solidFill>
          </w14:textFill>
        </w:rPr>
      </w:pPr>
      <w:r>
        <w:rPr>
          <w:rFonts w:hint="eastAsia" w:ascii="宋体" w:hAnsi="宋体" w:eastAsia="宋体" w:cs="宋体"/>
          <w:b/>
          <w:bCs/>
          <w:color w:val="000000" w:themeColor="text1"/>
          <w:sz w:val="24"/>
          <w:szCs w:val="24"/>
          <w14:textFill>
            <w14:solidFill>
              <w14:schemeClr w14:val="tx1"/>
            </w14:solidFill>
          </w14:textFill>
        </w:rPr>
        <w:t>接口日志</w:t>
      </w:r>
    </w:p>
    <w:p w14:paraId="0E49EC1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支持三方接口日志查看</w:t>
      </w:r>
    </w:p>
    <w:p w14:paraId="44F2C5C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3B3717C9">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bookmarkStart w:id="19" w:name="OLE_LINK4"/>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电子病历系统（EMR）</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6E4B38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 总体技术要求</w:t>
      </w:r>
    </w:p>
    <w:p w14:paraId="0C46DA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bookmarkStart w:id="20" w:name="OLE_LINK1"/>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bookmarkEnd w:id="20"/>
      <w:r>
        <w:rPr>
          <w:rFonts w:hint="eastAsia" w:ascii="宋体" w:hAnsi="宋体" w:eastAsia="宋体" w:cs="宋体"/>
          <w:color w:val="000000" w:themeColor="text1"/>
          <w:sz w:val="24"/>
          <w:szCs w:val="24"/>
          <w14:textFill>
            <w14:solidFill>
              <w14:schemeClr w14:val="tx1"/>
            </w14:solidFill>
          </w14:textFill>
        </w:rPr>
        <w:t>B/S架构。</w:t>
      </w:r>
    </w:p>
    <w:p w14:paraId="1EC7C95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支持与HIS系统一体化应用但又能独立升级。</w:t>
      </w:r>
    </w:p>
    <w:p w14:paraId="7182CD4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支持服务器缓存技术以规避软件长期使用后可能会出现的卡顿问题。</w:t>
      </w:r>
    </w:p>
    <w:p w14:paraId="420A77C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满足《电子病历基本架构和数据标准》、《电子病历系统功能应用水平分级评价方法及标准试行》、《医疗机构电子病历管理规定》、《中华人民共和国电子签名法》、《卫生系统电子认证服务管理办法》等政策要求。</w:t>
      </w:r>
    </w:p>
    <w:p w14:paraId="26A317A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支持权限管理，可对现有系统所有功能模块及使用系统的医生角色进行快速的权限对应，实现临床科室更高效的人员管理，有助于工作效率的提升。</w:t>
      </w:r>
    </w:p>
    <w:p w14:paraId="59CEC77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6CC6243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2 用户权限管理</w:t>
      </w:r>
    </w:p>
    <w:p w14:paraId="0868875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支持HIS系统用户导入，与HIS共用用户。</w:t>
      </w:r>
    </w:p>
    <w:p w14:paraId="2D1BAB0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支持权限角色管理，针对不同用户群体设置不同权限。</w:t>
      </w:r>
    </w:p>
    <w:p w14:paraId="197E0B4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支持用户角色管理，针对不同用户设置不同角色的权限。</w:t>
      </w:r>
    </w:p>
    <w:p w14:paraId="1382AE4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1764C8B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3 基础配置管理</w:t>
      </w:r>
    </w:p>
    <w:p w14:paraId="1073DB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支持统一的数据源管理，针对病历中使用的不同数据源进行配置；也支持使用【同步HIS三方服务配置】功能，一键同步HIS中关于专业版电子病历的三方服务配置。</w:t>
      </w:r>
    </w:p>
    <w:p w14:paraId="47AC6C5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支持统一的系统参数管理，针对不同应用场景和方式设置不同参数。</w:t>
      </w:r>
    </w:p>
    <w:p w14:paraId="3CC556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支持病历功能报表关联，针对不同的功能模块关联不同的报表。</w:t>
      </w:r>
    </w:p>
    <w:p w14:paraId="799D8AA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文书审签管理，针对不同科室、不同书写人、不同病历模板设置不同的审签人，以及不同审签人对应不同代审签人。</w:t>
      </w:r>
    </w:p>
    <w:p w14:paraId="2BDCAAB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CA科室管理，支持医生CA、患者CA分科室启用。</w:t>
      </w:r>
    </w:p>
    <w:p w14:paraId="4B8D1E8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支持CDR补传管理，针对历史书写病历进行CDR系统的病历内容补传。</w:t>
      </w:r>
    </w:p>
    <w:p w14:paraId="7FD996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981146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4 基础数据管理</w:t>
      </w:r>
    </w:p>
    <w:p w14:paraId="47F7FCA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支持所见项管理，作为系统最小数据元，针对不同所见项设置不同的值域、单位及自定义取值SQL，也可对数字型所见项设置上下限。</w:t>
      </w:r>
    </w:p>
    <w:p w14:paraId="0FA4284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支持基础变量管理，针对不同病历模板中使用的共用元素进行统一管理，可对照所见项，自动引用所见项值域、单位及自定义取值SQL，也可自定义设置。同时支持与三方系统值域进行对照。</w:t>
      </w:r>
    </w:p>
    <w:p w14:paraId="27A8DEB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支持模板分类管理，针对不同类型的文书进行分类管理，适配不同医院针对模板的个性化分类管理。</w:t>
      </w:r>
    </w:p>
    <w:p w14:paraId="1474E6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支持范文词句分类管理，针对不同类型不同病历模板的同一手术或操作进行范文打包，便捷医生快捷查找同一类型不同模板的范文或词句。</w:t>
      </w:r>
    </w:p>
    <w:p w14:paraId="63BD81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支持症状病史管理，可定义症状或病史，针对不同的症状或病史关联不同所见项进行进一步描述。</w:t>
      </w:r>
    </w:p>
    <w:p w14:paraId="781AC9A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支持特殊符号管理，可定义特殊符号分类及特殊符号，已预制插件特殊符号。</w:t>
      </w:r>
    </w:p>
    <w:p w14:paraId="36B7C99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支持标记图管理，针对不同科室在病历中使用的的标记图进行管理，已预制各个科室常见的标记图。</w:t>
      </w:r>
    </w:p>
    <w:p w14:paraId="43BD744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支持批注信息管理，可对常见的病历批注信息进行维护，方便上级医师审阅病历时进行批注。</w:t>
      </w:r>
    </w:p>
    <w:p w14:paraId="5623B4F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支持模板导入导出，可批量导出或导入病历模板。</w:t>
      </w:r>
    </w:p>
    <w:p w14:paraId="32E35A4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支持节假日管理，可对节假日进行维护，病历自动完成时跳过节假日。</w:t>
      </w:r>
    </w:p>
    <w:p w14:paraId="570A2B4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3C2A4CEE">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5 传统病历管理</w:t>
      </w:r>
    </w:p>
    <w:p w14:paraId="3DD62B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病历段管理</w:t>
      </w:r>
    </w:p>
    <w:p w14:paraId="5C3D092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支持病历段管理，针对传统病历的病历提供进行管理，已预制病历书写规范中涉及的常用病历提纲。可对病历段的签名、诊断、手术特殊段进行标记，也可对照标准的CDA文档节点编码。</w:t>
      </w:r>
    </w:p>
    <w:p w14:paraId="2C94E8B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支持病历段树形结构化定义，可设置不同树形节点显示条件，书写时根据病人情况及上级树形节点值控制下级节点的录入。</w:t>
      </w:r>
    </w:p>
    <w:p w14:paraId="67AFD21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病历类型管理</w:t>
      </w:r>
    </w:p>
    <w:p w14:paraId="5F1BF65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支持病历类型管理，针对传统病历的病历文件进行管理，已预制病历书写规范中涉及的常用病历提纲。</w:t>
      </w:r>
    </w:p>
    <w:p w14:paraId="4EC5C7E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支持病历类型设置频次类型、页面、是否新建页面、分组以及打印方式。</w:t>
      </w:r>
    </w:p>
    <w:p w14:paraId="149315D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支持病历类型设置对应的病历段及病历段内容引用</w:t>
      </w:r>
    </w:p>
    <w:p w14:paraId="69BA2EB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支持病历类型的替代关系、依赖关系设置</w:t>
      </w:r>
    </w:p>
    <w:p w14:paraId="269F69F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支持对照标准的CDA文档编码。</w:t>
      </w:r>
    </w:p>
    <w:p w14:paraId="4CB00A4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支持对照诊疗活动，执行书写任务时创建不同病历类型的病历。</w:t>
      </w:r>
    </w:p>
    <w:p w14:paraId="1886594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病历模板管理</w:t>
      </w:r>
    </w:p>
    <w:p w14:paraId="751C91D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支持基础模板管理，针对页眉、页脚格式进行定义。</w:t>
      </w:r>
    </w:p>
    <w:p w14:paraId="6414187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支持普通模板管理，针对传统病历的不同病历类型设置不同病历模板。</w:t>
      </w:r>
    </w:p>
    <w:p w14:paraId="71FC21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支持病历模板批量停用、启用。</w:t>
      </w:r>
    </w:p>
    <w:p w14:paraId="70922DF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支持病历模板适用范围设置。</w:t>
      </w:r>
    </w:p>
    <w:p w14:paraId="32FA3C9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支持病历模板打印控制设置，书写时根据必签签名控制限制书写病历的打印。</w:t>
      </w:r>
    </w:p>
    <w:p w14:paraId="44F2467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支持病历模板版本管理，可新增、复制和删除版本，同时支持模板版本审核、取消审核。</w:t>
      </w:r>
    </w:p>
    <w:p w14:paraId="1D8526A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支持普通模板的病历段设置，以及病历模板段设置是否保存范文、是否树形结构化录入、是否可编辑。</w:t>
      </w:r>
    </w:p>
    <w:p w14:paraId="1827D69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支持病历模板段显示条件设置，书写时根据病人情况进行书写。</w:t>
      </w:r>
    </w:p>
    <w:p w14:paraId="4B5F379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支持病历模板段树形结构化定义，可设置不同树形节点显示条件，书写时根据病人情况及上级树形节点值控制下级节点的录入。</w:t>
      </w:r>
    </w:p>
    <w:p w14:paraId="1EE5720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支持病历模板段树形结构化定义时实时预览。</w:t>
      </w:r>
    </w:p>
    <w:p w14:paraId="63554BC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支持病历模板内容格式定义。</w:t>
      </w:r>
    </w:p>
    <w:p w14:paraId="5A487F6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支持病历诊断段左右分栏布局及打印。</w:t>
      </w:r>
    </w:p>
    <w:p w14:paraId="2A4BC2F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支持病历模板复制。</w:t>
      </w:r>
    </w:p>
    <w:p w14:paraId="378475C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支持批量更新基础模板。</w:t>
      </w:r>
    </w:p>
    <w:p w14:paraId="6FA7DFA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支持病历模板预览、打印预览和打印功能。</w:t>
      </w:r>
    </w:p>
    <w:p w14:paraId="163D2ED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病历范文管理</w:t>
      </w:r>
    </w:p>
    <w:p w14:paraId="443AC81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支持病历模板范文管理，针对不同病历模板的病历范文进行定义。</w:t>
      </w:r>
    </w:p>
    <w:p w14:paraId="1E1B205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支持病历范文适用范文进行设置，包括个人、科室和全院。</w:t>
      </w:r>
    </w:p>
    <w:p w14:paraId="11B407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支持病历范文版本管理。</w:t>
      </w:r>
    </w:p>
    <w:p w14:paraId="4296D3B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支持病历范文多标签管理，书写时可通过多标签进行搜索，方便医生快速查找范文。</w:t>
      </w:r>
    </w:p>
    <w:p w14:paraId="2F45980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支持病历范文内容定义。</w:t>
      </w:r>
    </w:p>
    <w:p w14:paraId="1BE54DD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老版范文导入</w:t>
      </w:r>
    </w:p>
    <w:p w14:paraId="46E8AF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支持老版电子病历系统病历范文导入生成传统病历范文。</w:t>
      </w:r>
    </w:p>
    <w:p w14:paraId="67959C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71927F3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6 诊疗文书管理</w:t>
      </w:r>
    </w:p>
    <w:p w14:paraId="1C273EC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支持基础模板管理，针对页眉、页脚格式进行定义。</w:t>
      </w:r>
    </w:p>
    <w:p w14:paraId="28A0B51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支持普通模板管理，针对不同诊疗文书设置不同模板。</w:t>
      </w:r>
    </w:p>
    <w:p w14:paraId="3850B1F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支持诊疗文书模板批量停用、启用。</w:t>
      </w:r>
    </w:p>
    <w:p w14:paraId="0AC80C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支持批量更新基础模板。</w:t>
      </w:r>
    </w:p>
    <w:p w14:paraId="379268B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支持诊疗文书模板适用范围设置。</w:t>
      </w:r>
    </w:p>
    <w:p w14:paraId="06C77B7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支持诊疗文书模板打印控制设置，书写时根据必签设置限制书写病历打印。</w:t>
      </w:r>
    </w:p>
    <w:p w14:paraId="2DD82EF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支持普通模板的模板变量设置，以及模板变量的类型、取值类型、默认值值域、单位、是否可编辑、是否保存词句以及对照标准CDA文档节点编码。</w:t>
      </w:r>
    </w:p>
    <w:p w14:paraId="598D9B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支持模板变量动态取值和条件动态取值，以及自定义SQL取值。</w:t>
      </w:r>
    </w:p>
    <w:p w14:paraId="289585C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支持诊疗文书模板内容格式定义。</w:t>
      </w:r>
    </w:p>
    <w:p w14:paraId="0B3A126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支持对照标准的CDA文档编码。</w:t>
      </w:r>
    </w:p>
    <w:p w14:paraId="4DE12E4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支持对照诊疗活动，执行书写任务时创建不同诊疗文书的病历。</w:t>
      </w:r>
    </w:p>
    <w:p w14:paraId="52B9DF8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支持诊疗文书预览和打印。</w:t>
      </w:r>
    </w:p>
    <w:p w14:paraId="3FC0B6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F33924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7 知情同意书管理</w:t>
      </w:r>
    </w:p>
    <w:p w14:paraId="587E7EE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支持基础模板管理，针对页眉、页脚格式进行定义。</w:t>
      </w:r>
    </w:p>
    <w:p w14:paraId="07D78C6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支持普通模板管理，针对不同知情同意书设置不同模板。</w:t>
      </w:r>
    </w:p>
    <w:p w14:paraId="7333455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支持知情同意书模板批量停用、启用。</w:t>
      </w:r>
    </w:p>
    <w:p w14:paraId="10F8956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支持批量更新基础模板。</w:t>
      </w:r>
    </w:p>
    <w:p w14:paraId="2B87F55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支持知情同意书模板适用范围设置。</w:t>
      </w:r>
    </w:p>
    <w:p w14:paraId="19DD016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支持知情同意书模板打印控制设置，书写时根据打印控制限制书写病历打印。</w:t>
      </w:r>
    </w:p>
    <w:p w14:paraId="4E8B6F4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支持普通模板的模板变量设置，以及模板变量的类型、取值类型、默认值值域、单位、是否可编辑、是否保存词句以及对照标准CDA文档节点编码。</w:t>
      </w:r>
    </w:p>
    <w:p w14:paraId="5638229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支持模板变量动态取值和条件动态取值，以及自定义SQL取值。</w:t>
      </w:r>
    </w:p>
    <w:p w14:paraId="429334F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支持知情同意书模板内容格式定义。</w:t>
      </w:r>
    </w:p>
    <w:p w14:paraId="2463161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支持对照标准的CDA文档编码。</w:t>
      </w:r>
    </w:p>
    <w:p w14:paraId="085217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支持对照诊疗活动，执行书写任务时创建不同知情同意书的病历。</w:t>
      </w:r>
    </w:p>
    <w:p w14:paraId="506582C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支持知情同意书预览和打印。</w:t>
      </w:r>
    </w:p>
    <w:p w14:paraId="6156F35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FC1614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8 图文评分表管理</w:t>
      </w:r>
    </w:p>
    <w:p w14:paraId="18BD245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支持基础模板管理，针对页眉、页脚格式进行定义。</w:t>
      </w:r>
    </w:p>
    <w:p w14:paraId="2B276D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支持普通模板管理，针对不同图文评分表设置不同模板。</w:t>
      </w:r>
    </w:p>
    <w:p w14:paraId="22B1EF6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支持图文评分表模板批量停用、启用。</w:t>
      </w:r>
    </w:p>
    <w:p w14:paraId="1F39FA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支持批量更新基础模板。</w:t>
      </w:r>
    </w:p>
    <w:p w14:paraId="0E393CC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支持图文评分表模板适用范围设置。</w:t>
      </w:r>
    </w:p>
    <w:p w14:paraId="44DC6E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支持图文评分表模板打印控制设置，书写时根据打印控制限制书写病历打印。</w:t>
      </w:r>
    </w:p>
    <w:p w14:paraId="578E2C3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支持普通模板的模板变量设置，以及模板变量的类型、取值类型、默认值值域、单位、是否可编辑、是否保存词句以及对照标准CDA文档节点编码。</w:t>
      </w:r>
    </w:p>
    <w:p w14:paraId="044376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支持模板变量动态取值和条件动态取值，以及自定义SQL取值。</w:t>
      </w:r>
    </w:p>
    <w:p w14:paraId="2B3725D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支持评分项自动求和、范围取值及自定义JS分数计算。</w:t>
      </w:r>
    </w:p>
    <w:p w14:paraId="7DB464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支持图文评分表模板内容格式定义。</w:t>
      </w:r>
    </w:p>
    <w:p w14:paraId="0C712AF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支持对照标准的CDA文档编码。</w:t>
      </w:r>
    </w:p>
    <w:p w14:paraId="6C8A006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支持对照诊疗活动，执行书写任务时创建不同图文评分表的病历。</w:t>
      </w:r>
    </w:p>
    <w:p w14:paraId="053E2B8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支持图文评分表预览和打印。</w:t>
      </w:r>
    </w:p>
    <w:p w14:paraId="3D180E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EE354D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9 病历质控管理</w:t>
      </w:r>
    </w:p>
    <w:p w14:paraId="523AAD2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质控规则管理</w:t>
      </w:r>
    </w:p>
    <w:p w14:paraId="30124E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支持质控规则定义，包括时限规则、缺失规则、内容规则、脚本规则、人工规则、首页规则，已预制病历书写规范中病案质控评分标准规则。</w:t>
      </w:r>
    </w:p>
    <w:p w14:paraId="495A2B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支持质控规则提醒内容及分值设置。</w:t>
      </w:r>
    </w:p>
    <w:p w14:paraId="235658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支持质控规条件设置，针对不同病人情况进行计算。</w:t>
      </w:r>
    </w:p>
    <w:p w14:paraId="4281E3A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质控方案管理</w:t>
      </w:r>
    </w:p>
    <w:p w14:paraId="0C07830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支持质控否决规则定义，可关联多个质控规则。可设置质控等级。</w:t>
      </w:r>
    </w:p>
    <w:p w14:paraId="173AFCC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方案定义，设置质控方案总分、质控类型及甲乙丙/优良劣三级对应分数范围。可设置质控规则分组、分组分数及对应质控质控规则。也可设置不同质控方案的前提条件，针对不同病人类型使用不同质控方案。</w:t>
      </w:r>
    </w:p>
    <w:p w14:paraId="4CFF8E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支持质控方案导出、导入。</w:t>
      </w:r>
    </w:p>
    <w:p w14:paraId="030786F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支持质控人员定义，可停用、启用，批量质控抽插时分配给不同质控员进行质控。</w:t>
      </w:r>
    </w:p>
    <w:p w14:paraId="52D0D73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支持质控员质控范围定义。</w:t>
      </w:r>
    </w:p>
    <w:p w14:paraId="30DD490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支持患者类型定义，可设置患者类型优先级及过滤方式，支持自定义SQL定义患者类型。</w:t>
      </w:r>
    </w:p>
    <w:p w14:paraId="344664A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支持质控规则分类定义，已预制病历书写规范中病案质控评分标准分类。</w:t>
      </w:r>
    </w:p>
    <w:p w14:paraId="0B9165B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运行病历质控</w:t>
      </w:r>
    </w:p>
    <w:p w14:paraId="63F7022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支持运行病历的质控评分及临床反馈。</w:t>
      </w:r>
    </w:p>
    <w:p w14:paraId="161A7D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支持质控报告输出打印。</w:t>
      </w:r>
    </w:p>
    <w:p w14:paraId="1151DC0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支持对质控反馈处理进行复核。</w:t>
      </w:r>
    </w:p>
    <w:p w14:paraId="0C7208C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支持批量运行病历质控。</w:t>
      </w:r>
    </w:p>
    <w:p w14:paraId="0DC6874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科内质控管理</w:t>
      </w:r>
    </w:p>
    <w:p w14:paraId="1440FE0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支持临床科室环节质控评分及临床反馈。</w:t>
      </w:r>
    </w:p>
    <w:p w14:paraId="1C5ED5D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支持批量质控抽查分配质控执行，可对批量抽查分配的任务进行质控评分及临床反馈。</w:t>
      </w:r>
    </w:p>
    <w:p w14:paraId="7D3F98B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支持质控报告输出打印。</w:t>
      </w:r>
    </w:p>
    <w:p w14:paraId="0BD3648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同时支持运行病历质控，方便科室质控员进行运行病历质控。</w:t>
      </w:r>
    </w:p>
    <w:p w14:paraId="47C354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支持病历召回修改申请和取消完成申请审核。</w:t>
      </w:r>
    </w:p>
    <w:p w14:paraId="2B83D5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支持对质控反馈处理进行复核。</w:t>
      </w:r>
    </w:p>
    <w:p w14:paraId="7B989B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支持批量科内质控。</w:t>
      </w:r>
    </w:p>
    <w:p w14:paraId="28A52B6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终末质控管理</w:t>
      </w:r>
    </w:p>
    <w:p w14:paraId="637ED6D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支持医务科、质控办或病案室终末质控评分及临床反馈。</w:t>
      </w:r>
    </w:p>
    <w:p w14:paraId="14061BA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支持批量质控抽查分配质控执行，可对批量抽查分配的任务进行质控评分及临床反馈。</w:t>
      </w:r>
    </w:p>
    <w:p w14:paraId="495FAC0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支持质控报告输出打印。</w:t>
      </w:r>
    </w:p>
    <w:p w14:paraId="7658A5D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同时支持运行病历质控，方便医务科、质控办或病案室质控员进行运行病历质控。</w:t>
      </w:r>
    </w:p>
    <w:p w14:paraId="41DF4CF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支持病历召回修改申请和取消完成申请审核。</w:t>
      </w:r>
    </w:p>
    <w:p w14:paraId="2E98CFE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支持对质控反馈处理进行复核。</w:t>
      </w:r>
    </w:p>
    <w:p w14:paraId="376C12B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支持批量终末质控。</w:t>
      </w:r>
    </w:p>
    <w:p w14:paraId="48174C8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病历质控抽查</w:t>
      </w:r>
    </w:p>
    <w:p w14:paraId="40E0950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支持批量质控抽查，可通过患者类型进行过滤筛选，可选择必抽患者类型，根据患者类型的优先级进行患者抽取。</w:t>
      </w:r>
    </w:p>
    <w:p w14:paraId="02C275F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支持批量质控抽查患者分配质控员进行质控。</w:t>
      </w:r>
    </w:p>
    <w:p w14:paraId="7934CD6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支持批量抽查分配时根据指控范围进行自动分配。</w:t>
      </w:r>
    </w:p>
    <w:p w14:paraId="79B8397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支持批量抽查动态均衡分配，保证每个医生都能被平均抽取。</w:t>
      </w:r>
    </w:p>
    <w:p w14:paraId="2B8072C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取消完成审核</w:t>
      </w:r>
    </w:p>
    <w:p w14:paraId="79C0F8B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支持取消病历完成申请审核。</w:t>
      </w:r>
    </w:p>
    <w:p w14:paraId="7B1260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超时申请审核</w:t>
      </w:r>
    </w:p>
    <w:p w14:paraId="0B1DDD1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支持病历超时书写申请审核。</w:t>
      </w:r>
    </w:p>
    <w:p w14:paraId="13B75F4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7CCDCDF2">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10 病历归档封存</w:t>
      </w:r>
    </w:p>
    <w:p w14:paraId="7E62C9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病历归档管理</w:t>
      </w:r>
    </w:p>
    <w:p w14:paraId="2EE6A3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支持病历完成病人批量病历归档和取消归档。</w:t>
      </w:r>
    </w:p>
    <w:p w14:paraId="612160C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支持调整病历归档时间。</w:t>
      </w:r>
    </w:p>
    <w:p w14:paraId="588AE9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支持病历归档列表输出打印。</w:t>
      </w:r>
    </w:p>
    <w:p w14:paraId="6429850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病历封存管理</w:t>
      </w:r>
    </w:p>
    <w:p w14:paraId="27E0A77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支持病人病历封存和取消封存。</w:t>
      </w:r>
    </w:p>
    <w:p w14:paraId="708494B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支持控制病历封存后是否允许打印。</w:t>
      </w:r>
    </w:p>
    <w:p w14:paraId="2949CAD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0EF80B0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11 病历检索统计</w:t>
      </w:r>
    </w:p>
    <w:p w14:paraId="5CCAD7D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病历检索分析</w:t>
      </w:r>
    </w:p>
    <w:p w14:paraId="6CC8237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支持已书写病历内容结构化数据查询分析。</w:t>
      </w:r>
    </w:p>
    <w:p w14:paraId="550528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支持检索结果列表输出。</w:t>
      </w:r>
    </w:p>
    <w:p w14:paraId="41E05D2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支持检索结果病历内容批量输出PDF。</w:t>
      </w:r>
    </w:p>
    <w:p w14:paraId="5762E7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支持病历检索列表查看打印状态。</w:t>
      </w:r>
    </w:p>
    <w:p w14:paraId="085532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支持导出PDF操作日志记录。</w:t>
      </w:r>
    </w:p>
    <w:p w14:paraId="4776233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支持检索出来的病历内容脱敏。</w:t>
      </w:r>
    </w:p>
    <w:p w14:paraId="1A32880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质控结果分析</w:t>
      </w:r>
    </w:p>
    <w:p w14:paraId="1F99E0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支持不同科室、不同质控类型的质控结果分析。</w:t>
      </w:r>
    </w:p>
    <w:p w14:paraId="6D3D7B7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病历统计分析</w:t>
      </w:r>
    </w:p>
    <w:p w14:paraId="6AB6CA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支持病历自定义报表查询分析。</w:t>
      </w:r>
    </w:p>
    <w:p w14:paraId="01944E4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质控缺陷分析</w:t>
      </w:r>
    </w:p>
    <w:p w14:paraId="318CB6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支持高发缺陷统计。</w:t>
      </w:r>
    </w:p>
    <w:p w14:paraId="7E34589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3936C80C">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12 活动任务管理</w:t>
      </w:r>
    </w:p>
    <w:p w14:paraId="05A53EE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支持诊疗活动定义，可设置不同活动标签分类。</w:t>
      </w:r>
    </w:p>
    <w:p w14:paraId="2F6B669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支持活动项目定义，可定义不同活动的活动记录项目、记录项目值域、记录项目单位。</w:t>
      </w:r>
    </w:p>
    <w:p w14:paraId="464B383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支持活动状态管理定义，可定义不同活动的状态列表。</w:t>
      </w:r>
    </w:p>
    <w:p w14:paraId="4EB8B13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支持活动关系定义，可定义不同活动不同活动状态产生不同活动任务。</w:t>
      </w:r>
    </w:p>
    <w:p w14:paraId="1E740C1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支持活动前置检查定义，可定义前置活动状态和检查类型，以及对应的活动检查项目、运算符及检查值。</w:t>
      </w:r>
    </w:p>
    <w:p w14:paraId="64FF7D4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支持活动任务执行服务外部调用。</w:t>
      </w:r>
    </w:p>
    <w:p w14:paraId="3876FBB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支持待办任务服务外部调用。</w:t>
      </w:r>
    </w:p>
    <w:p w14:paraId="47A3884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支持HIS相关诊疗活动任务调用执行。</w:t>
      </w:r>
    </w:p>
    <w:p w14:paraId="67AFDBB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608DDA9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13 病历书写</w:t>
      </w:r>
    </w:p>
    <w:p w14:paraId="3D07D98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待办任务书写</w:t>
      </w:r>
    </w:p>
    <w:p w14:paraId="712FECF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支持通过待办任务书写、签名、审签病历。</w:t>
      </w:r>
    </w:p>
    <w:p w14:paraId="56A3E9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支持根据书写科室执行待办任务时自动筛选或手动选择病历模板。</w:t>
      </w:r>
    </w:p>
    <w:p w14:paraId="6938046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支持待办任务根据质控时限分级显示已超期、未超期、临近超期、无时限的任务。</w:t>
      </w:r>
    </w:p>
    <w:p w14:paraId="250DE08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病历模板书写</w:t>
      </w:r>
    </w:p>
    <w:p w14:paraId="206C41B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支持通过选择病历模板书写病历。</w:t>
      </w:r>
    </w:p>
    <w:p w14:paraId="7422B23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支持根据书写科室自动筛选病历模板。</w:t>
      </w:r>
    </w:p>
    <w:p w14:paraId="721B0D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支持多标签筛选病历模板对应病历范文直接书写病历。</w:t>
      </w:r>
    </w:p>
    <w:p w14:paraId="12DD9E7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支持通过“模板组”功能，批量新增病历。</w:t>
      </w:r>
    </w:p>
    <w:p w14:paraId="5B149BF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文档导航</w:t>
      </w:r>
    </w:p>
    <w:p w14:paraId="40B0F63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支持文档列表导航，显示并定位已书写病历及病历段内容。</w:t>
      </w:r>
    </w:p>
    <w:p w14:paraId="5FE1F2B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支持病历编辑锁定及强制解锁，以及快速定位正在编辑病历文件。</w:t>
      </w:r>
    </w:p>
    <w:p w14:paraId="7A286D4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病历范文导入</w:t>
      </w:r>
    </w:p>
    <w:p w14:paraId="7BF53C1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支持本人、本科和全院范文筛选。</w:t>
      </w:r>
    </w:p>
    <w:p w14:paraId="0A0F55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支持病历范文多标签搜索。</w:t>
      </w:r>
    </w:p>
    <w:p w14:paraId="09609D5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支持不同版本范文预览、替换和插入病历内容。</w:t>
      </w:r>
    </w:p>
    <w:p w14:paraId="5A812B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支持选择范文部分段导入。</w:t>
      </w:r>
    </w:p>
    <w:p w14:paraId="287E558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文书词句导入</w:t>
      </w:r>
    </w:p>
    <w:p w14:paraId="11A4B5C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支持本人、本科和全院词句组筛选。</w:t>
      </w:r>
    </w:p>
    <w:p w14:paraId="76DE459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支持不同词句组替换和插入病历内容。</w:t>
      </w:r>
    </w:p>
    <w:p w14:paraId="481FC74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支持选择词句组部分词句导入。</w:t>
      </w:r>
    </w:p>
    <w:p w14:paraId="062DF0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临床质控反馈</w:t>
      </w:r>
    </w:p>
    <w:p w14:paraId="2B6E41F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支持运行病历质控、科内质控、终末质控及质控抽查反馈问题处理。</w:t>
      </w:r>
    </w:p>
    <w:p w14:paraId="3FE4B66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支持质控反馈意见。</w:t>
      </w:r>
    </w:p>
    <w:p w14:paraId="443697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支持就诊病人、我的病人、医疗小组和本科室质控反馈列表显示。</w:t>
      </w:r>
    </w:p>
    <w:p w14:paraId="7D56AD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支持质控反馈列表直接创建、修改、审订已书写病历和修改病案首页。</w:t>
      </w:r>
    </w:p>
    <w:p w14:paraId="01547D9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病历编辑</w:t>
      </w:r>
    </w:p>
    <w:p w14:paraId="2163A2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支持同一页面、同一分组病历记录连续显示和编辑。</w:t>
      </w:r>
    </w:p>
    <w:p w14:paraId="064B2C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支持同一分组病历根据活动任务关系自动关联连续显示和编辑。</w:t>
      </w:r>
    </w:p>
    <w:p w14:paraId="0D046B6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支持不同病历类型病历段内容自动引用。</w:t>
      </w:r>
    </w:p>
    <w:p w14:paraId="7D99BD4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支持基础变量、模板变量修改手动更新信息。</w:t>
      </w:r>
    </w:p>
    <w:p w14:paraId="0DFE2C7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支持文本上下标及插入本地图片。</w:t>
      </w:r>
    </w:p>
    <w:p w14:paraId="6AFD666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支持常见医学表达式插入病历快捷编辑，包括月经史、胎心位置、房角、光定位、突眼、肺结核、心脏相对浊音界、恒牙标注（部位、二位数）、乳牙标注（部位、二位数）、血糖对比、妊娠情况等。</w:t>
      </w:r>
    </w:p>
    <w:p w14:paraId="164DDFE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支持标记图标记并插入，可引用已预制标记图和本地图片。</w:t>
      </w:r>
    </w:p>
    <w:p w14:paraId="44933ED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支持特殊符号引用。</w:t>
      </w:r>
    </w:p>
    <w:p w14:paraId="5FDD9D9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支持院内/外历次门诊、住院、以及三方检验报告内容引用，可表格或自由文本录入。</w:t>
      </w:r>
    </w:p>
    <w:p w14:paraId="53F440A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支持历次门诊、住院微生物报告内容引用。</w:t>
      </w:r>
    </w:p>
    <w:p w14:paraId="5C618F2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支持历次门诊、住院检查报告内容引用。</w:t>
      </w:r>
    </w:p>
    <w:p w14:paraId="25BE8DE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支持历次门诊、住院病理检查报告内容引用。</w:t>
      </w:r>
    </w:p>
    <w:p w14:paraId="1A55FD7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支持外部三方系统报告内容自定义插件引用。</w:t>
      </w:r>
    </w:p>
    <w:p w14:paraId="6FE9299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支持历次门诊、住院评分结果内容引用。</w:t>
      </w:r>
    </w:p>
    <w:p w14:paraId="5EEEBA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支持危急值处理记录引用，可选择插入危急值处理记录。</w:t>
      </w:r>
    </w:p>
    <w:p w14:paraId="07828A2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支持历次病历内容引用。</w:t>
      </w:r>
    </w:p>
    <w:p w14:paraId="35FB791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支持病历医生和患者电子签名，包括文本、图片及CA签名，已支持常见CA厂商接入。</w:t>
      </w:r>
    </w:p>
    <w:p w14:paraId="0B60A5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支持病人诊断录入与HIS病案首页诊断同步，同时根据书写规范中规则生成文本插入到对应诊断段。同时支持中医诊断的多症候多治法录入。</w:t>
      </w:r>
    </w:p>
    <w:p w14:paraId="15B9B99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支持病人诊断录入自动弹出传染病报告卡填写。</w:t>
      </w:r>
    </w:p>
    <w:p w14:paraId="11111E5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支持病人手术记录ICD-9录入与HIS病案首页手术记录同步，同时生成对应文本到病历内容中。支持自动计算手术时间及复制新增手术记录。</w:t>
      </w:r>
    </w:p>
    <w:p w14:paraId="58C58C3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支持病历签名后继续修订病历，每次修订后必须签名才能保存修改内容，达到首次签名后的修改留痕。</w:t>
      </w:r>
    </w:p>
    <w:p w14:paraId="2DA175B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支持护理记录内容引用。</w:t>
      </w:r>
    </w:p>
    <w:p w14:paraId="262EF0B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支持显示修订痕迹。</w:t>
      </w:r>
    </w:p>
    <w:p w14:paraId="71D5452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支持在病历书写，签名，以及融合界面传输数据到三方系统中。</w:t>
      </w:r>
    </w:p>
    <w:p w14:paraId="1DCB4E4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支持常用功能的快捷键设置。</w:t>
      </w:r>
    </w:p>
    <w:p w14:paraId="1B87A52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“一张纸”病历</w:t>
      </w:r>
    </w:p>
    <w:p w14:paraId="3DD6D5E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支持在同一界面完成集病历连续书写（新增、修改、书写任务、范文组）、连续查看、病历打印于一体，方便医生快捷书写、查看及打印病历，大大提高医生效率，把医生的时间还给病人。</w:t>
      </w:r>
    </w:p>
    <w:p w14:paraId="75D9D75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基于诊疗逻辑的树形结构化录入</w:t>
      </w:r>
    </w:p>
    <w:p w14:paraId="4127E4B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支持病历模板段树形结构化录入，可根据病人情况及上级树形节点动态显示录入下级树形。</w:t>
      </w:r>
    </w:p>
    <w:p w14:paraId="327D7F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支持快捷搜索调整树形节点数据。</w:t>
      </w:r>
    </w:p>
    <w:p w14:paraId="139798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已预制第九版《诊断学》中住院病历中既往史、个人史、月经史、婚育史、家族史及体格检查部分结构化录入内容。</w:t>
      </w:r>
    </w:p>
    <w:p w14:paraId="39BE02E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支持树形结构化录入根据规则自动产生文本内容到对应病历段中，方便医生快捷书写病历。</w:t>
      </w:r>
    </w:p>
    <w:p w14:paraId="49832CB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另存范文</w:t>
      </w:r>
    </w:p>
    <w:p w14:paraId="4856600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支持书写病历另存为范文，可设置适用范围，包括个人、科室和全院。</w:t>
      </w:r>
    </w:p>
    <w:p w14:paraId="34AF1C0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支持另存为范文版本，可覆盖原版本和新建范文版本。</w:t>
      </w:r>
    </w:p>
    <w:p w14:paraId="3CD2FB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支持另存为范文时选择范文分类，使用时可直接在快速检索中通过分类名称检索分类下不同模板的所有范文和词句组。</w:t>
      </w:r>
    </w:p>
    <w:p w14:paraId="050572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另存词句</w:t>
      </w:r>
    </w:p>
    <w:p w14:paraId="3D13C34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支持书写文书另存为词句组，可设置适用范围，包括个人、科室和全院，也可覆盖和新建。</w:t>
      </w:r>
    </w:p>
    <w:p w14:paraId="3A37497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支持另存为词句组时选择范文分类，使用时可直接在快速检索中通过分类名称检索分类下不同模板的所有词句组和范文。</w:t>
      </w:r>
    </w:p>
    <w:p w14:paraId="760A4FC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历史版本</w:t>
      </w:r>
    </w:p>
    <w:p w14:paraId="04A3F85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支持病历签名后自动生成历史版本，保证病历修改可追溯。</w:t>
      </w:r>
    </w:p>
    <w:p w14:paraId="217BC4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支持历史版本内容恢复。</w:t>
      </w:r>
    </w:p>
    <w:p w14:paraId="24303AF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支持历史版本内容对比显示修改痕迹。</w:t>
      </w:r>
    </w:p>
    <w:p w14:paraId="695355E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自动保存/本地缓存</w:t>
      </w:r>
    </w:p>
    <w:p w14:paraId="3D1415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支持病历内容自动保存。</w:t>
      </w:r>
    </w:p>
    <w:p w14:paraId="4678772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支持本地实时缓存及本地缓存恢复，保证病历内容不丢失。</w:t>
      </w:r>
    </w:p>
    <w:p w14:paraId="167FEE6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4EAD4F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14 病历整理及打印</w:t>
      </w:r>
    </w:p>
    <w:p w14:paraId="7FF7F95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支持病历顺序调整，同时可调整病历页面及分组。</w:t>
      </w:r>
    </w:p>
    <w:p w14:paraId="6726607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支持病历自动续打，同时支持手动续打。</w:t>
      </w:r>
    </w:p>
    <w:p w14:paraId="465097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支持病历打印设置，可设置单面或双面（长边或短边翻转）。</w:t>
      </w:r>
    </w:p>
    <w:p w14:paraId="1CCDAEF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支持连续显示病历，根据记录日期时间自动排序。</w:t>
      </w:r>
    </w:p>
    <w:p w14:paraId="19BD7A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支持病历打印默认奇数页、偶数页。</w:t>
      </w:r>
    </w:p>
    <w:p w14:paraId="1508625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支持多份病历批量打印。</w:t>
      </w:r>
    </w:p>
    <w:p w14:paraId="7DB068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739AAE9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15 范文词句</w:t>
      </w:r>
    </w:p>
    <w:p w14:paraId="1028C21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支持快捷管理病历范文和文书词句组。</w:t>
      </w:r>
    </w:p>
    <w:p w14:paraId="06AA50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EDB892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16 病历书写列表</w:t>
      </w:r>
    </w:p>
    <w:p w14:paraId="5728D80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支持病历已书写列表过滤显示及同一页面或同一分组连续预览和单独预览</w:t>
      </w:r>
    </w:p>
    <w:p w14:paraId="54F3ABD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支持已书写列表签名、审订和打印状态显示，支持未签名、已签名、签名完成、未审订、已审订、审订完成、未打印、已打印及需重打显著显示。</w:t>
      </w:r>
    </w:p>
    <w:p w14:paraId="2313BB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支持按创建时间过滤某时间范围内创建的病历。</w:t>
      </w:r>
    </w:p>
    <w:p w14:paraId="470B505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支持病历作废和恢复。</w:t>
      </w:r>
    </w:p>
    <w:p w14:paraId="1817105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支持已书写列表自定义显示及记忆功能。</w:t>
      </w:r>
    </w:p>
    <w:p w14:paraId="47DA02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支持显示当前病人的病历状态及质控状态。</w:t>
      </w:r>
    </w:p>
    <w:p w14:paraId="119A7FB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支持特殊情况下标记完成患者签名后自动跳过必签患者签名检查。</w:t>
      </w:r>
    </w:p>
    <w:p w14:paraId="6F212F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67317DB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17 病历自评</w:t>
      </w:r>
    </w:p>
    <w:p w14:paraId="70AFB7E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支持临床医生根据病历质控方案进行质量评估。</w:t>
      </w:r>
    </w:p>
    <w:p w14:paraId="202F19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9F1EB4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18 病历完成</w:t>
      </w:r>
    </w:p>
    <w:p w14:paraId="60DC3AA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支持病人出院后临床医生病历完善后病历完成提交。</w:t>
      </w:r>
    </w:p>
    <w:p w14:paraId="7BC3823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支持病人出院后根据自动完成时间设置自动病历完成，自动跳过周末和节假日。</w:t>
      </w:r>
    </w:p>
    <w:p w14:paraId="16677ED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支持病人完成后未超过自动完成时间取消完成。</w:t>
      </w:r>
    </w:p>
    <w:p w14:paraId="1B7A493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支持病人完成后超过自动完成时间取消完成申请。</w:t>
      </w:r>
    </w:p>
    <w:p w14:paraId="3D586D0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045C2E9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19 历次反馈</w:t>
      </w:r>
    </w:p>
    <w:p w14:paraId="5F7335E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支持查询历次质控反馈及处理情况查询。</w:t>
      </w:r>
    </w:p>
    <w:p w14:paraId="61E7FF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1C35C29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20 历次申请</w:t>
      </w:r>
    </w:p>
    <w:p w14:paraId="5576A8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支持查询历次病历召回修改申请及审核情况查询。</w:t>
      </w:r>
    </w:p>
    <w:p w14:paraId="4427E5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支持查询历次病历取消完成申请及审核情况查询。</w:t>
      </w:r>
    </w:p>
    <w:p w14:paraId="49AF01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59EA24A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21 病历自动上传临床数据中心（CDR）</w:t>
      </w:r>
    </w:p>
    <w:p w14:paraId="068D446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支持病历签名、保存、病历完成时实时上传病历内容到临床数据中心（CDR）。</w:t>
      </w:r>
    </w:p>
    <w:p w14:paraId="7485270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3337706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22 病历书写外部系统集成</w:t>
      </w:r>
    </w:p>
    <w:p w14:paraId="70DF8A5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支持HIS住院医生站、住院护士工作站、医技工作站集成。</w:t>
      </w:r>
    </w:p>
    <w:p w14:paraId="4ACBEA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支持Web住院医生工作站集成</w:t>
      </w:r>
    </w:p>
    <w:p w14:paraId="0BDECD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支持一张纸医生站集成。</w:t>
      </w:r>
    </w:p>
    <w:p w14:paraId="7D84BD8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支持一体化护理系统集成。</w:t>
      </w:r>
    </w:p>
    <w:p w14:paraId="686815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支持专业版用血管理系统集成。</w:t>
      </w:r>
    </w:p>
    <w:p w14:paraId="7C04020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支持专业版康复治疗系统集成。</w:t>
      </w:r>
    </w:p>
    <w:p w14:paraId="40CFA9B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支持外部三方系统集成。</w:t>
      </w:r>
    </w:p>
    <w:p w14:paraId="79AE375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color w:val="000000" w:themeColor="text1"/>
          <w:sz w:val="24"/>
          <w:szCs w:val="24"/>
          <w14:textFill>
            <w14:solidFill>
              <w14:schemeClr w14:val="tx1"/>
            </w14:solidFill>
          </w14:textFill>
        </w:rPr>
        <w:t>23 三方知识库集成</w:t>
      </w:r>
    </w:p>
    <w:p w14:paraId="2B8D82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支持惠每知识库接入。</w:t>
      </w:r>
    </w:p>
    <w:p w14:paraId="6EDA4BA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支持百度知识库接入。</w:t>
      </w:r>
    </w:p>
    <w:p w14:paraId="47956A0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森亿数据库接入。</w:t>
      </w:r>
    </w:p>
    <w:p w14:paraId="4A12AF5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万方知识库接入。</w:t>
      </w:r>
    </w:p>
    <w:p w14:paraId="099737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知网知识库接入。</w:t>
      </w:r>
    </w:p>
    <w:p w14:paraId="62105FD1">
      <w:pPr>
        <w:pageBreakBefore w:val="0"/>
        <w:kinsoku/>
        <w:wordWrap/>
        <w:overflowPunct/>
        <w:topLinePunct w:val="0"/>
        <w:autoSpaceDE/>
        <w:autoSpaceDN/>
        <w:bidi w:val="0"/>
        <w:snapToGrid w:val="0"/>
        <w:ind w:left="0"/>
        <w:rPr>
          <w:rFonts w:hint="eastAsia" w:ascii="宋体" w:hAnsi="宋体" w:eastAsia="宋体" w:cs="宋体"/>
          <w:b/>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1.7.</w:t>
      </w:r>
      <w:r>
        <w:rPr>
          <w:rFonts w:hint="eastAsia" w:ascii="宋体" w:hAnsi="宋体" w:eastAsia="宋体" w:cs="宋体"/>
          <w:b/>
          <w:color w:val="000000" w:themeColor="text1"/>
          <w:kern w:val="2"/>
          <w:sz w:val="24"/>
          <w:szCs w:val="24"/>
          <w:lang w:val="en-US" w:eastAsia="zh-CN" w:bidi="ar-SA"/>
          <w14:textFill>
            <w14:solidFill>
              <w14:schemeClr w14:val="tx1"/>
            </w14:solidFill>
          </w14:textFill>
        </w:rPr>
        <w:t>24电子病历评级要求</w:t>
      </w:r>
    </w:p>
    <w:p w14:paraId="48AEC7AD">
      <w:pPr>
        <w:pageBreakBefore w:val="0"/>
        <w:kinsoku/>
        <w:wordWrap/>
        <w:overflowPunct/>
        <w:topLinePunct w:val="0"/>
        <w:autoSpaceDE/>
        <w:autoSpaceDN/>
        <w:bidi w:val="0"/>
        <w:snapToGrid w:val="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kern w:val="2"/>
          <w:sz w:val="24"/>
          <w:szCs w:val="24"/>
          <w:lang w:val="en-US" w:eastAsia="zh-CN" w:bidi="ar-SA"/>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满足电子病历四级评级，并支撑医院通过电子病历四级评级。</w:t>
      </w:r>
    </w:p>
    <w:p w14:paraId="38F59969">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临床用血系统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410B307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 总体技术要求</w:t>
      </w:r>
    </w:p>
    <w:p w14:paraId="4631662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B/S架构。</w:t>
      </w:r>
    </w:p>
    <w:p w14:paraId="654EADC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支持与HIS系统一体化应用但又能独立升级。</w:t>
      </w:r>
    </w:p>
    <w:p w14:paraId="166D8AC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支持服务器缓存技术以规避软件长期使用后可能会出现的卡顿问题。</w:t>
      </w:r>
    </w:p>
    <w:p w14:paraId="0370D15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满足《医疗机构临床用血管理办法》和《临床输血技术规范》的政策要求。</w:t>
      </w:r>
    </w:p>
    <w:p w14:paraId="1A1B345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支持权限管理，可对现有系统所有功能模块及使用系统的角色进行快速的权限对应，实现更高效的人员管理，有助于工作效率的提升。</w:t>
      </w:r>
    </w:p>
    <w:p w14:paraId="20B4E47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专业性知识的利用，使其能达到合理用血的指征评估、相容血液的自动匹配、血液检测流程的自动匹配等，是产品功能符合专业性的要求。</w:t>
      </w:r>
    </w:p>
    <w:p w14:paraId="56ADC62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2 用血计划</w:t>
      </w:r>
    </w:p>
    <w:p w14:paraId="6396C77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可根据统计历史用血情况及用血量年平均增长情况自动评估估算当前年、月、日用血量计划，并可以此作为各类血液库存预警界限的设置依据</w:t>
      </w:r>
    </w:p>
    <w:p w14:paraId="2A6EF42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 血液预订</w:t>
      </w:r>
    </w:p>
    <w:p w14:paraId="7D99406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可根据库存实际量和预警线自动产生需要补充预定的血液品种和数量，以此作为向血站预定输液的依据。并在和血站系统接入互通并接口满足的情况下，可将订单实施发送至血站。</w:t>
      </w:r>
    </w:p>
    <w:p w14:paraId="7B4981A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4 血液入库</w:t>
      </w:r>
    </w:p>
    <w:p w14:paraId="4DFF6E1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可实现血站发血的手工入库和核对入库，也支持实现血站出库单入库。</w:t>
      </w:r>
    </w:p>
    <w:p w14:paraId="5B2EFF0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对于贮存式自体输血，可对采集的病人自体血液进行入库，并记录对应的病人信息，及血液的血型、采集日期、保存位置等信息，一个病人多次采血时，可进行多次的采血记录。</w:t>
      </w:r>
    </w:p>
    <w:p w14:paraId="34FBBDB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对调用其他医疗机构的血液供本院使用时，可对调入的血液记录来源、条码、血液信息等，并补充本地库存。</w:t>
      </w:r>
    </w:p>
    <w:p w14:paraId="38A9D21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对入库未使用的血液，若允许退回时，可对血液退回发出机构，并减少库存。</w:t>
      </w:r>
    </w:p>
    <w:p w14:paraId="65EDE0E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支持通过Excel文件导入入库。</w:t>
      </w:r>
    </w:p>
    <w:p w14:paraId="71D9ACE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5 血液出库</w:t>
      </w:r>
    </w:p>
    <w:p w14:paraId="46CAC91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调血出库，支持调血至其他医疗机构，并支持上传调血凭证图片存档。</w:t>
      </w:r>
    </w:p>
    <w:p w14:paraId="6C9294E2">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其他出库，对血液采用其他出库方式出库</w:t>
      </w:r>
    </w:p>
    <w:p w14:paraId="4E668E2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6 退血管理</w:t>
      </w:r>
    </w:p>
    <w:p w14:paraId="4F681EF2">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支持退血到血站的管理</w:t>
      </w:r>
    </w:p>
    <w:p w14:paraId="68780D4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支持退血到调血医院</w:t>
      </w:r>
    </w:p>
    <w:p w14:paraId="60A1E45C">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支持调血医院退回到本院</w:t>
      </w:r>
    </w:p>
    <w:p w14:paraId="3DC2848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7 血液报废</w:t>
      </w:r>
    </w:p>
    <w:p w14:paraId="6A62E01E">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对血袋报废进行相应管理记录</w:t>
      </w:r>
    </w:p>
    <w:p w14:paraId="6E3CDE2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8 血液回收</w:t>
      </w:r>
    </w:p>
    <w:p w14:paraId="30225BC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病区回收：支持病区可直接进行血袋回收和处置，无须拿回输血科处理，血袋输血完成后血袋放置到相应的医疗箱24小时后进行处置。</w:t>
      </w:r>
    </w:p>
    <w:p w14:paraId="312889C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输血科回收：支持输血科回收血袋，病区输血执行完成后，血袋拿到输血科，输血科进行血袋接收，接收24小时后进行处置相关记录。</w:t>
      </w:r>
    </w:p>
    <w:p w14:paraId="7B3AB45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p>
    <w:p w14:paraId="1625630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9 输血前评估</w:t>
      </w:r>
    </w:p>
    <w:p w14:paraId="33548292">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在进行用血申请时，根据输血目的和选用的输血品种的不同，自动提取需要的输血前检验结果和血型结果，及相关的评估项内容供临床选择。无相关检验记录的进行提示并禁止申请，并检查其评估项是否符合输血适应证并进行提示。</w:t>
      </w:r>
    </w:p>
    <w:p w14:paraId="4C21E70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10 临床用血申请</w:t>
      </w:r>
    </w:p>
    <w:p w14:paraId="4BA8655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实现临床治疗用血、择期手术用血的申请单下达，可自动获取病人的基本信息，并可录入输血目的、用血品种、用血量等输血相关信息，并自动提交至审核环节。</w:t>
      </w:r>
    </w:p>
    <w:p w14:paraId="164468C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紧急用血的申请，并依据紧急程度的不同，可提示并规范血库进行的不同后续操作，比如“危急”情况下在10-15分钟内发出第一袋未经交叉配血的O型红细胞或AB型新鲜冰冻血浆；“紧急”情况下在30分钟内完成ABO血型正反定型和凝聚胺主侧配血，并发放相容血液。</w:t>
      </w:r>
    </w:p>
    <w:p w14:paraId="5973D67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11 自体输血申请</w:t>
      </w:r>
    </w:p>
    <w:p w14:paraId="4BF81E20">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可对贮存式自体输血进行申请，可填写相应的申请信息和计划贮存血量，供血库工作人员进行审核，并可根据采集量和采集量上限等规则，自动生成可修改的采血计划，并反馈临床临床供参考。</w:t>
      </w:r>
    </w:p>
    <w:p w14:paraId="08A88B9E">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12 术中自体输血记录</w:t>
      </w:r>
    </w:p>
    <w:p w14:paraId="4500E5A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术中开展的回收式和稀释式自体输血，可在术后由临床或血库进行术中输血记录，包括回收输血量，血液稀释量和浓度等。</w:t>
      </w:r>
    </w:p>
    <w:p w14:paraId="4E76BC1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p>
    <w:p w14:paraId="3C1A8D5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p>
    <w:p w14:paraId="61ACBA9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 xml:space="preserve"> 采集标本</w:t>
      </w:r>
    </w:p>
    <w:p w14:paraId="3A7EFBFC">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支持LIS采集标本模式，LIS采集标本后输血系统进行绑定标本后进行相关鉴定，配血。</w:t>
      </w:r>
    </w:p>
    <w:p w14:paraId="3495D72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支持输血系统打印条码采集标本，用于后续配血等流程。</w:t>
      </w:r>
    </w:p>
    <w:p w14:paraId="736CB10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 xml:space="preserve"> 用血审核</w:t>
      </w:r>
    </w:p>
    <w:p w14:paraId="2BCFADD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可根据用血量的不同，使用不同人员参与的多级审核制度，可自行设置用血量的多个标准，及每个标准下需要参与审核的人员。</w:t>
      </w:r>
    </w:p>
    <w:p w14:paraId="594DAECE">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 xml:space="preserve"> 异体血核收</w:t>
      </w:r>
    </w:p>
    <w:p w14:paraId="14380588">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可根据临床提交的申请单，对输血申请进行核收；可根据查看输血前评估以及申请单进行核收或拒收。</w:t>
      </w:r>
    </w:p>
    <w:p w14:paraId="4438ED1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t>自体血核收</w:t>
      </w:r>
    </w:p>
    <w:p w14:paraId="56EBD45B">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对临床提交的自体血申请进行核收或拒收。</w:t>
      </w:r>
    </w:p>
    <w:p w14:paraId="303E9AD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t xml:space="preserve"> 血液相容性检测</w:t>
      </w:r>
    </w:p>
    <w:p w14:paraId="6CC65C7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对需要采集标本重新做相容性检测的申请，可对临床采集的标本进行核收登记，并检查记录其标本质量情况。</w:t>
      </w:r>
    </w:p>
    <w:p w14:paraId="10D6ADA2">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可根据申请使用的血液品种自动判断需要进行的操作流程和方法，比如新生儿可不反定型鉴定血型；血浆不需要交叉配血；洗涤红细胞只需要主侧配血</w:t>
      </w:r>
    </w:p>
    <w:p w14:paraId="16CFD65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对病人血型进行复核记录，包括ABO和Rh(D)。</w:t>
      </w:r>
    </w:p>
    <w:p w14:paraId="3E5E0A0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可根据申请的血液品种判断是否进行交叉配血环节</w:t>
      </w:r>
    </w:p>
    <w:p w14:paraId="38B3097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当通过输血申请评估病人存在输血史、妊娠史、多次输血时，或交叉配血不合时，提示须进行不规则抗体筛查，并对过程和结果进行记录。若不规则抗体筛查为阳性，还可进行抗体鉴定的结果记录</w:t>
      </w:r>
    </w:p>
    <w:p w14:paraId="477E845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对于疑难配血院内不能得到相容性结果时，可申请其他医疗机构进行配血。</w:t>
      </w:r>
    </w:p>
    <w:p w14:paraId="5BA8490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可记录外部配血的结果，并将对应相合的血液进行入库，同时和用血申请关联，血液用于指定病人。</w:t>
      </w:r>
    </w:p>
    <w:p w14:paraId="6206BE0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检测后的标本，按要求需要进行保存一段时间，可对标本进行存储登记，并在超过时效后进行提示，进行销毁处理和记录</w:t>
      </w:r>
    </w:p>
    <w:p w14:paraId="37B4F1A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对完成备血后无需使用的血袋操作结束用血</w:t>
      </w:r>
    </w:p>
    <w:p w14:paraId="33A6743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t xml:space="preserve"> 血液发放</w:t>
      </w:r>
    </w:p>
    <w:p w14:paraId="13C5742B">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审核后的临床用血申请，可由临床打印领血单，并凭领血单至血库进行领血，和血库双方共同核对血液质量情况并进行记录。可通过扫描血袋条码进行血液的核对。</w:t>
      </w:r>
    </w:p>
    <w:p w14:paraId="190657B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由血库采集保存的自体血，在临床领用时双方共同进行核对，并对双方进行记录。</w:t>
      </w:r>
    </w:p>
    <w:p w14:paraId="235F9C8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对紧急用血的申请，可根据紧急程度及患者血型情况自动提示可用的相容血液和后续操作</w:t>
      </w:r>
    </w:p>
    <w:p w14:paraId="26050F2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对危急的情况可直接进行危急发血，后续补充申请流程。</w:t>
      </w:r>
    </w:p>
    <w:p w14:paraId="2B2448A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t xml:space="preserve"> 疑难配血记录</w:t>
      </w:r>
    </w:p>
    <w:p w14:paraId="2A031810">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针对患者的血液标本通过血型鉴定以及交叉配血过程中，发现是疑难配血的情况，进行标记；标记后通过疑难配血记录进行[申请外配血液]送检。</w:t>
      </w:r>
    </w:p>
    <w:p w14:paraId="53BEF3E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支持疑难配血界面查看血型鉴定以及配血操作</w:t>
      </w:r>
    </w:p>
    <w:p w14:paraId="5F9FD9CE">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支持对送检后血站下发的血液进行定向的血站配血入库。</w:t>
      </w:r>
    </w:p>
    <w:p w14:paraId="12739B7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标记疑难配血后，该患者进行特殊标识，便于后续该患者再次输血能直观的知晓患者的情况。</w:t>
      </w:r>
    </w:p>
    <w:p w14:paraId="781FDFB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1.8.20</w:t>
      </w:r>
      <w:r>
        <w:rPr>
          <w:rFonts w:hint="eastAsia" w:ascii="宋体" w:hAnsi="宋体" w:eastAsia="宋体" w:cs="宋体"/>
          <w:color w:val="000000" w:themeColor="text1"/>
          <w:sz w:val="24"/>
          <w:szCs w:val="24"/>
          <w14:textFill>
            <w14:solidFill>
              <w14:schemeClr w14:val="tx1"/>
            </w14:solidFill>
          </w14:textFill>
        </w:rPr>
        <w:t xml:space="preserve"> 不良反应记录</w:t>
      </w:r>
    </w:p>
    <w:p w14:paraId="79D69E9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当患者输血出现输血反应时，临床医师或输血科可进行不良反应的登记填报，包括实际输血时间、病人反应体征、不良反应类型、处置措施等。提供标准化的数据进行选择快速填报。</w:t>
      </w:r>
    </w:p>
    <w:p w14:paraId="398ECD5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当患者再次输血时，可自动提示患者有输血不良反应史</w:t>
      </w:r>
    </w:p>
    <w:p w14:paraId="36693FC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lang w:val="en-US" w:eastAsia="zh-CN"/>
          <w14:textFill>
            <w14:solidFill>
              <w14:schemeClr w14:val="tx1"/>
            </w14:solidFill>
          </w14:textFill>
        </w:rPr>
        <w:t>21</w:t>
      </w:r>
      <w:r>
        <w:rPr>
          <w:rFonts w:hint="eastAsia" w:ascii="宋体" w:hAnsi="宋体" w:eastAsia="宋体" w:cs="宋体"/>
          <w:color w:val="000000" w:themeColor="text1"/>
          <w:sz w:val="24"/>
          <w:szCs w:val="24"/>
          <w14:textFill>
            <w14:solidFill>
              <w14:schemeClr w14:val="tx1"/>
            </w14:solidFill>
          </w14:textFill>
        </w:rPr>
        <w:t xml:space="preserve"> 血液接收</w:t>
      </w:r>
    </w:p>
    <w:p w14:paraId="7EC08AB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输血科血液发放后，病区进行血液接收，接收时支持双人核对；</w:t>
      </w:r>
    </w:p>
    <w:p w14:paraId="3B9644A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1.8.22</w:t>
      </w:r>
      <w:r>
        <w:rPr>
          <w:rFonts w:hint="eastAsia" w:ascii="宋体" w:hAnsi="宋体" w:eastAsia="宋体" w:cs="宋体"/>
          <w:color w:val="000000" w:themeColor="text1"/>
          <w:sz w:val="24"/>
          <w:szCs w:val="24"/>
          <w14:textFill>
            <w14:solidFill>
              <w14:schemeClr w14:val="tx1"/>
            </w14:solidFill>
          </w14:textFill>
        </w:rPr>
        <w:t xml:space="preserve"> 输血执行</w:t>
      </w:r>
    </w:p>
    <w:p w14:paraId="0ED4A11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支持开始输血时双人核对签名，对输血基础情况进行记录</w:t>
      </w:r>
    </w:p>
    <w:p w14:paraId="0E34FB2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支持输血过程中巡视记录填写记录，输血15分钟巡视、输血30分钟巡视、输血一小时巡视等</w:t>
      </w:r>
    </w:p>
    <w:p w14:paraId="21949E9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支持开始输血前巡视记录填写</w:t>
      </w:r>
    </w:p>
    <w:p w14:paraId="5D94543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1.8.23</w:t>
      </w:r>
      <w:r>
        <w:rPr>
          <w:rFonts w:hint="eastAsia" w:ascii="宋体" w:hAnsi="宋体" w:eastAsia="宋体" w:cs="宋体"/>
          <w:color w:val="000000" w:themeColor="text1"/>
          <w:sz w:val="24"/>
          <w:szCs w:val="24"/>
          <w14:textFill>
            <w14:solidFill>
              <w14:schemeClr w14:val="tx1"/>
            </w14:solidFill>
          </w14:textFill>
        </w:rPr>
        <w:t xml:space="preserve"> 变更执行科室</w:t>
      </w:r>
    </w:p>
    <w:p w14:paraId="1E6F30D3">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患者输血过程中血液还未输完的情况下，患者变更科室，输血血袋进行变更；例如，患者正在输悬浮红细胞2U，现在输了一半，患者需要转到病区，这种情况下可进行输血执行科室变更，变更后剩余血量由下一科室执行。</w:t>
      </w:r>
    </w:p>
    <w:p w14:paraId="2AB0D1A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1.8.24</w:t>
      </w:r>
      <w:r>
        <w:rPr>
          <w:rFonts w:hint="eastAsia" w:ascii="宋体" w:hAnsi="宋体" w:eastAsia="宋体" w:cs="宋体"/>
          <w:color w:val="000000" w:themeColor="text1"/>
          <w:sz w:val="24"/>
          <w:szCs w:val="24"/>
          <w14:textFill>
            <w14:solidFill>
              <w14:schemeClr w14:val="tx1"/>
            </w14:solidFill>
          </w14:textFill>
        </w:rPr>
        <w:t xml:space="preserve"> 输血后评估</w:t>
      </w:r>
    </w:p>
    <w:p w14:paraId="5C6742E3">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可自动采集患者输血后24小时（或其他时限）内的各项检验指标结果，并比对输血前记录，供临床医生参考在病历中输血效果评价。</w:t>
      </w:r>
    </w:p>
    <w:p w14:paraId="007DF528">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 不良反应回报</w:t>
      </w:r>
    </w:p>
    <w:p w14:paraId="7B32A83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支持对不良反应情况进行回报，回报内容填写后支持回报单的预览和打印。</w:t>
      </w:r>
    </w:p>
    <w:p w14:paraId="616C380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1.8.25</w:t>
      </w:r>
      <w:r>
        <w:rPr>
          <w:rFonts w:hint="eastAsia" w:ascii="宋体" w:hAnsi="宋体" w:eastAsia="宋体" w:cs="宋体"/>
          <w:color w:val="000000" w:themeColor="text1"/>
          <w:sz w:val="24"/>
          <w:szCs w:val="24"/>
          <w14:textFill>
            <w14:solidFill>
              <w14:schemeClr w14:val="tx1"/>
            </w14:solidFill>
          </w14:textFill>
        </w:rPr>
        <w:t xml:space="preserve"> 质控管理（增值模块）</w:t>
      </w:r>
    </w:p>
    <w:p w14:paraId="0FAE0EBB">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质控规则：支持在既定的质控项目进行自定义规则。</w:t>
      </w:r>
    </w:p>
    <w:p w14:paraId="2377D98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用血质控：根据上述质控规则的定义，自动质控出符合条件的申请单，由</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  输血科进行确定质控，最终进行质控评价。</w:t>
      </w:r>
    </w:p>
    <w:p w14:paraId="47E0CF5B">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质控申诉：对于输血科质控的结果存在异议时，临床医生、病区护士可进</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  行质控申诉，申诉后由输血科进行确认。</w:t>
      </w:r>
    </w:p>
    <w:p w14:paraId="167FC28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质控统计：对质控的情况进行统计形成表格，并支持导出。</w:t>
      </w:r>
    </w:p>
    <w:p w14:paraId="3E579C0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lang w:val="en-US" w:eastAsia="zh-CN"/>
          <w14:textFill>
            <w14:solidFill>
              <w14:schemeClr w14:val="tx1"/>
            </w14:solidFill>
          </w14:textFill>
        </w:rPr>
        <w:t>26</w:t>
      </w:r>
      <w:r>
        <w:rPr>
          <w:rFonts w:hint="eastAsia" w:ascii="宋体" w:hAnsi="宋体" w:eastAsia="宋体" w:cs="宋体"/>
          <w:color w:val="000000" w:themeColor="text1"/>
          <w:sz w:val="24"/>
          <w:szCs w:val="24"/>
          <w14:textFill>
            <w14:solidFill>
              <w14:schemeClr w14:val="tx1"/>
            </w14:solidFill>
          </w14:textFill>
        </w:rPr>
        <w:t xml:space="preserve"> 权限管理</w:t>
      </w:r>
    </w:p>
    <w:p w14:paraId="4209753C">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满足不同人员查看不同页面的需求。</w:t>
      </w:r>
    </w:p>
    <w:p w14:paraId="7FE35D9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对特殊角色可进行直接授权所有科室或病区，例如住院总可查看所有科室的患者。</w:t>
      </w:r>
    </w:p>
    <w:p w14:paraId="5089EE5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对用血审核人员权限分别设置</w:t>
      </w:r>
    </w:p>
    <w:p w14:paraId="5689C8A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lang w:val="en-US" w:eastAsia="zh-CN"/>
          <w14:textFill>
            <w14:solidFill>
              <w14:schemeClr w14:val="tx1"/>
            </w14:solidFill>
          </w14:textFill>
        </w:rPr>
        <w:t>27</w:t>
      </w:r>
      <w:r>
        <w:rPr>
          <w:rFonts w:hint="eastAsia" w:ascii="宋体" w:hAnsi="宋体" w:eastAsia="宋体" w:cs="宋体"/>
          <w:color w:val="000000" w:themeColor="text1"/>
          <w:sz w:val="24"/>
          <w:szCs w:val="24"/>
          <w14:textFill>
            <w14:solidFill>
              <w14:schemeClr w14:val="tx1"/>
            </w14:solidFill>
          </w14:textFill>
        </w:rPr>
        <w:t xml:space="preserve"> 血液信息</w:t>
      </w:r>
    </w:p>
    <w:p w14:paraId="7EE2FC2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对血液基础信息维护，根据院内的所有品种进行维护，以及血液对应可收取的费用进行设置，设置后发血时自动进行记账。</w:t>
      </w:r>
    </w:p>
    <w:p w14:paraId="64F0C72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28 存储位置管理</w:t>
      </w:r>
    </w:p>
    <w:p w14:paraId="0413F7D0">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可维护血液保存的物理位置和环境条件，并在血液入库时，可选择记录其相关的存储位置。</w:t>
      </w:r>
    </w:p>
    <w:p w14:paraId="0D168A3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29 检验方案管理</w:t>
      </w:r>
    </w:p>
    <w:p w14:paraId="34C1BE98">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支持对血型鉴定的常用鉴定方案进行提前创建，费用绑定，便于血型鉴定时直接选择相应成套方案并进行计费；</w:t>
      </w:r>
    </w:p>
    <w:p w14:paraId="07B999C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持对交叉配血的常用鉴定方案进行提前创建，费用绑定，便于交叉配血时直接选择相应成套方案并进行计费；</w:t>
      </w:r>
    </w:p>
    <w:p w14:paraId="764DF302">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支持建立检验结果的规则库，实现血型鉴定时选择相应结果值后直接生成最终的血型鉴定结果。</w:t>
      </w:r>
    </w:p>
    <w:p w14:paraId="2770940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30 输血评估</w:t>
      </w:r>
    </w:p>
    <w:p w14:paraId="24EAC30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支持输血前评估和输血后评估的评估内容自定义</w:t>
      </w:r>
    </w:p>
    <w:p w14:paraId="5D47D2A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支持根据不同患者申请不同成分或品种的血液实现评估内容差异化设置，并设置默认值，实现临床医生快捷的完成评估。</w:t>
      </w:r>
    </w:p>
    <w:p w14:paraId="27685F7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31 合理用血规则</w:t>
      </w:r>
    </w:p>
    <w:p w14:paraId="6A22AD5F">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支持自定义用血规则，对不同的评估场景、检验结果范围、评估项目自动生成评估结果的合理性。有效避免一些不合理的用血申请，对于一些不必要的输血在前置环节进行控制。</w:t>
      </w:r>
    </w:p>
    <w:p w14:paraId="4F61F33F">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32 库存预警</w:t>
      </w:r>
    </w:p>
    <w:p w14:paraId="7BBD9AA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可按照用血计划或手工设置各血液品种的库存水平和预警界限，并可按照库存积压、正常、偏少、紧缺等多级设置界限，当库存在对应界限时，给出对应的提示或标识。。</w:t>
      </w:r>
    </w:p>
    <w:p w14:paraId="33E26ED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可按照血液的有效期，及时的对近过期线的血液进行预警提示。</w:t>
      </w:r>
    </w:p>
    <w:p w14:paraId="10C382F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33 血辩管理</w:t>
      </w:r>
    </w:p>
    <w:p w14:paraId="37848C3C">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支持根据成分定义是否进行血辩管理，例如血浆部分医院可能就可不进行管理。</w:t>
      </w:r>
    </w:p>
    <w:p w14:paraId="7304A45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支持记录血辩处置人、处置时间以及处置方式，且处置方式支持自定义。</w:t>
      </w:r>
    </w:p>
    <w:p w14:paraId="1421E04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34 血型分布</w:t>
      </w:r>
    </w:p>
    <w:p w14:paraId="72A58D4E">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支持查看所有住院病人的血型分布情况，支持查看输血病人的血型分布情况</w:t>
      </w:r>
    </w:p>
    <w:p w14:paraId="542AEC2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1.8.</w:t>
      </w:r>
      <w:r>
        <w:rPr>
          <w:rFonts w:hint="eastAsia" w:ascii="宋体" w:hAnsi="宋体" w:eastAsia="宋体" w:cs="宋体"/>
          <w:color w:val="000000" w:themeColor="text1"/>
          <w:sz w:val="24"/>
          <w:szCs w:val="24"/>
          <w14:textFill>
            <w14:solidFill>
              <w14:schemeClr w14:val="tx1"/>
            </w14:solidFill>
          </w14:textFill>
        </w:rPr>
        <w:t>35 结束用血记录</w:t>
      </w:r>
    </w:p>
    <w:p w14:paraId="0DB2C06E">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支持对完成备血后，临床或者输血科申请或者审核的结束用血记录进行审核和取消审核等操作</w:t>
      </w:r>
    </w:p>
    <w:p w14:paraId="49291E85">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t>质控管理</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2604912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临床质控管理</w:t>
      </w:r>
    </w:p>
    <w:p w14:paraId="4620769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仪器设备的质量管理</w:t>
      </w:r>
    </w:p>
    <w:p w14:paraId="6673956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试剂和材料的质量管理</w:t>
      </w:r>
    </w:p>
    <w:p w14:paraId="7B37F3A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检测方法的质量管理</w:t>
      </w:r>
    </w:p>
    <w:p w14:paraId="5EFD3A8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护理质控管理</w:t>
      </w:r>
    </w:p>
    <w:p w14:paraId="2C8C0A7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床护比</w:t>
      </w:r>
    </w:p>
    <w:p w14:paraId="2A8CA01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护理质量指标</w:t>
      </w:r>
    </w:p>
    <w:p w14:paraId="309B6A6B">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1.10</w:t>
      </w:r>
      <w:r>
        <w:rPr>
          <w:rFonts w:hint="eastAsia" w:ascii="宋体" w:hAnsi="宋体" w:eastAsia="宋体" w:cs="宋体"/>
          <w:color w:val="000000" w:themeColor="text1"/>
          <w:sz w:val="24"/>
          <w:szCs w:val="24"/>
          <w14:textFill>
            <w14:solidFill>
              <w14:schemeClr w14:val="tx1"/>
            </w14:solidFill>
          </w14:textFill>
        </w:rPr>
        <w:t>基础业务系统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bookmarkEnd w:id="19"/>
    <w:p w14:paraId="554E6B0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门急诊挂号系统</w:t>
      </w:r>
    </w:p>
    <w:p w14:paraId="3C6BE0E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1.支持建立挂号类别、出诊时间、科室名称、专家名单、限号数量等功能</w:t>
      </w:r>
    </w:p>
    <w:p w14:paraId="11A0BC9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2.支持医保（医保卡直接挂号需要当地医保接口开放相应功能）、公费、自费、特困、优抚、免费等多种身份的挂号</w:t>
      </w:r>
    </w:p>
    <w:p w14:paraId="5E6FB4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3.支持退号功能，并正确处理病人应退费用和相关统计等</w:t>
      </w:r>
    </w:p>
    <w:p w14:paraId="7E606C4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4.支持挂号收入统计核算，能完成科室核算、门诊工作量统计等功能</w:t>
      </w:r>
    </w:p>
    <w:p w14:paraId="5426CDA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5.支持票据领用、注销、作废、补打、重打等管理功能</w:t>
      </w:r>
    </w:p>
    <w:p w14:paraId="6FABCB2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6.支持通过接口进行医保/农合结算</w:t>
      </w:r>
    </w:p>
    <w:p w14:paraId="2C9D17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7.支持预约挂号（通过接口支持网上预约）</w:t>
      </w:r>
    </w:p>
    <w:p w14:paraId="219FE5D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8.支持自助挂号（需要新版导诊系统与自助设备）</w:t>
      </w:r>
    </w:p>
    <w:p w14:paraId="0E4109A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9.支持挂号同时发放磁卡、IC卡、条码、身份证等多种形式的就诊卡，支持使用就诊卡挂号（需要一卡通系统和读卡设备支持）</w:t>
      </w:r>
    </w:p>
    <w:p w14:paraId="701B128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10、支持临床出诊安排，上班时间段、节假日管理，临床号源管理等</w:t>
      </w:r>
    </w:p>
    <w:p w14:paraId="59A2588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11、支持患者服务中心，实现因停诊，替诊通知病人，同步实现预约取消，换诊等工作。实现针对复诊病人的预约通知和预约登记。实时接收到停诊或替诊或复诊病人的复诊等消息，可以实现预约挂号操作</w:t>
      </w:r>
    </w:p>
    <w:p w14:paraId="442AEF3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门急诊收费系统</w:t>
      </w:r>
    </w:p>
    <w:p w14:paraId="3E27BE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1.支持现金、银行卡、支票、消费卡、医保账户等多种结算方式</w:t>
      </w:r>
    </w:p>
    <w:p w14:paraId="15D6B79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2.支持对一个病人同时输入多张单据收费</w:t>
      </w:r>
    </w:p>
    <w:p w14:paraId="694EFBB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3.支持收费员打印缴款书，提供收费员日报、组长日报等统计报表功能</w:t>
      </w:r>
    </w:p>
    <w:p w14:paraId="161B9B1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4.支持中草药配方（划价）功能</w:t>
      </w:r>
    </w:p>
    <w:p w14:paraId="3C195B4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5.支持加班加价管理</w:t>
      </w:r>
    </w:p>
    <w:p w14:paraId="33CFAD2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6.支持针对不同病人身份的费用折扣处理</w:t>
      </w:r>
    </w:p>
    <w:p w14:paraId="41327C6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7.支持退费功能，支持部分退费，并正确处理病人应退费用和相关统计等（医保病人部分退费功能需要当地医保接口开放相应功能）</w:t>
      </w:r>
    </w:p>
    <w:p w14:paraId="48DB16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8.支持收入统计核算，能完成科室核算统计等功能</w:t>
      </w:r>
    </w:p>
    <w:p w14:paraId="17FF82C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9.支持票据领用、注销、作废、补打、重打等管理功能</w:t>
      </w:r>
    </w:p>
    <w:p w14:paraId="40486B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10.支持自定义零钞处理规则</w:t>
      </w:r>
    </w:p>
    <w:p w14:paraId="35418C6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11.支持通过接口进行医保/农合结算</w:t>
      </w:r>
    </w:p>
    <w:p w14:paraId="2EB327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12.支持通过就诊卡快速提取病人和费用信息，完成收费（需要一卡通系统和读卡设备）</w:t>
      </w:r>
    </w:p>
    <w:p w14:paraId="29EFDD5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住院费用管理系统</w:t>
      </w:r>
    </w:p>
    <w:p w14:paraId="720A7A9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1.支持病人费用记账、划价、审核、结账等功能</w:t>
      </w:r>
    </w:p>
    <w:p w14:paraId="170CD61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2.支持现金、银行卡、支票、消费卡、医保账户等多种结算方式</w:t>
      </w:r>
    </w:p>
    <w:p w14:paraId="627EA3F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3.支持中途结账功能，支持按自选费用期间、类型、科室等条件进行结账</w:t>
      </w:r>
    </w:p>
    <w:p w14:paraId="2F6468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4.支持病人欠费提醒与控制，支持分别设置不同科室、不同病人类型、医保/非医保的提醒限额</w:t>
      </w:r>
    </w:p>
    <w:p w14:paraId="3A083FC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5.支持病人费用查询/一日清单/催款单打印</w:t>
      </w:r>
    </w:p>
    <w:p w14:paraId="69835EA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6.支持票据领用、注销、作废、补打、重打等管理功能</w:t>
      </w:r>
    </w:p>
    <w:p w14:paraId="6FD310B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7.支持执行科室分散记账功能</w:t>
      </w:r>
    </w:p>
    <w:p w14:paraId="0F34695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8.支持收费员打印缴款书，提供收费员日报、组长日报等统计报表</w:t>
      </w:r>
    </w:p>
    <w:p w14:paraId="68B8E43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9.支持根据床位等级、护理等级自动计费</w:t>
      </w:r>
    </w:p>
    <w:p w14:paraId="181847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10.支持医保病人费用的预结算（需要当地医保接口支持预结算功能）</w:t>
      </w:r>
    </w:p>
    <w:p w14:paraId="767A2AC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门诊中西医药房管理系统</w:t>
      </w:r>
    </w:p>
    <w:p w14:paraId="47C89F0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1.支持储备限量管理，并根据低于下限的药品生成申领单</w:t>
      </w:r>
    </w:p>
    <w:p w14:paraId="768A0EA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2.可自动打印配药单、处方签、发药清单、退药通知单等相关单据</w:t>
      </w:r>
    </w:p>
    <w:p w14:paraId="296237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3.支持对处方中部分或全部药品退药（医保病人部分退药功能需要当地医保接口开放相应功能）</w:t>
      </w:r>
    </w:p>
    <w:p w14:paraId="37F5212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4.提供对药品处方明细的发药核对确认，消减库存并统计工作量</w:t>
      </w:r>
    </w:p>
    <w:p w14:paraId="52056C6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5.支持对申领或调拨的药品进行入库确认</w:t>
      </w:r>
    </w:p>
    <w:p w14:paraId="351C445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6.提供药品盘点、报损和退库功能</w:t>
      </w:r>
    </w:p>
    <w:p w14:paraId="1877B6A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7.可随时查询任意时间段、任意药品的入、出、存明细账</w:t>
      </w:r>
    </w:p>
    <w:p w14:paraId="43A6B26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8.支持根据普通、儿科、急诊、精神、麻醉药品类别自动显示相应处方颜色，提醒药剂师</w:t>
      </w:r>
    </w:p>
    <w:p w14:paraId="6D16164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9.支持大处方跟踪与审查处理</w:t>
      </w:r>
    </w:p>
    <w:p w14:paraId="03621A0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10.支持自动分配或指定发药窗口发药</w:t>
      </w:r>
    </w:p>
    <w:p w14:paraId="658D763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住院药房管理系统</w:t>
      </w:r>
    </w:p>
    <w:p w14:paraId="7EFC85C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1.支持储备限量管理，并根据低于下限的药品生成申领单</w:t>
      </w:r>
    </w:p>
    <w:p w14:paraId="38A5EC4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2.可自动打印配药单、处方签、发药清单、退药通知单等相关单据</w:t>
      </w:r>
    </w:p>
    <w:p w14:paraId="5067364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3.提供分别按病人的临时医嘱和长期医嘱执行确认上账功能，并自动生成各类药品的摆药单和汇总清单</w:t>
      </w:r>
    </w:p>
    <w:p w14:paraId="229A997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4.支持对处方中部分或全部药品退药（医保病人部分退药功能需要当地医保接口开放相应功能）</w:t>
      </w:r>
    </w:p>
    <w:p w14:paraId="1FFD2E6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5.提供对药品处方明细的发药核对确认，消减库存并统计工作量</w:t>
      </w:r>
    </w:p>
    <w:p w14:paraId="4EE9577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6.支持对申领或调拨的药品进行入库确认</w:t>
      </w:r>
    </w:p>
    <w:p w14:paraId="68CE5A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7.提供药品盘点、报损和退库功能</w:t>
      </w:r>
    </w:p>
    <w:p w14:paraId="4F67908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8.可随时查询任意时间段、任意药品的入、出、存明细账</w:t>
      </w:r>
    </w:p>
    <w:p w14:paraId="531F51E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9.支持根据普通、儿科、急诊、精神、麻醉药品类别自动显示相应处方颜色，提醒药剂师</w:t>
      </w:r>
    </w:p>
    <w:p w14:paraId="73959E6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10.支持大处方跟踪与审查处理</w:t>
      </w:r>
    </w:p>
    <w:p w14:paraId="4DEA919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11.支持自动分配或指定发药窗口发药</w:t>
      </w:r>
    </w:p>
    <w:p w14:paraId="3ADFFBF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住院病人入出转管理系统</w:t>
      </w:r>
    </w:p>
    <w:p w14:paraId="3DD0F4D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1.支持入出院管理、预约登记、出入院统计、床位管理、预交金管理等功能</w:t>
      </w:r>
    </w:p>
    <w:p w14:paraId="144E917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2.支持转科、换床、护理等级、床位等级调整、加床、包房等处理，同时提供变动记录供查询</w:t>
      </w:r>
    </w:p>
    <w:p w14:paraId="25301BA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3.支持门诊留观、住院留观管理，并可将留观病人转为入院病人</w:t>
      </w:r>
    </w:p>
    <w:p w14:paraId="41A2058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4.支持办理入院时建立病案首页</w:t>
      </w:r>
    </w:p>
    <w:p w14:paraId="7FBACB6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5.支持与医保、农合等系统的接口，支持对不同类型病人的自定义颜色显示</w:t>
      </w:r>
    </w:p>
    <w:p w14:paraId="3C1B2E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6.支持病区床位的统一管理，体现床位的使用状态、病人的基本信息等</w:t>
      </w:r>
    </w:p>
    <w:p w14:paraId="79D0E1F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7.支持一个病区服务于多个临床科室、或一个临床科室床位分布于多个病区的管理模式</w:t>
      </w:r>
    </w:p>
    <w:p w14:paraId="5D7A914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8.支持自定义住院号编号方式，并支持病人多次住院使用同一住院号</w:t>
      </w:r>
    </w:p>
    <w:p w14:paraId="42255AD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9.支持产科新生儿登记（含多胎登记）</w:t>
      </w:r>
    </w:p>
    <w:p w14:paraId="2E1ACD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10.支持病人预出院管理，并根据预出院控制计费</w:t>
      </w:r>
    </w:p>
    <w:p w14:paraId="5548FC2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财务监控系统</w:t>
      </w:r>
    </w:p>
    <w:p w14:paraId="6BFE97F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1.支持收费暂存金的管理，包括多种付款方式：医保账户、现金、支票等</w:t>
      </w:r>
    </w:p>
    <w:p w14:paraId="2119E91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2.支持按指定时间段或全额方式缴款管理</w:t>
      </w:r>
    </w:p>
    <w:p w14:paraId="7A0F7D3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3.支持各类操作人员、各类票据的使用管理，包括领用、报损、作废等，随时查阅票据的使用状态</w:t>
      </w:r>
    </w:p>
    <w:p w14:paraId="3F43250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自定义报表系统</w:t>
      </w:r>
    </w:p>
    <w:p w14:paraId="0DF0888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支持以向导方式或可视化编辑方式自动生成报表，实现所见即所得的效果</w:t>
      </w:r>
    </w:p>
    <w:p w14:paraId="5FB2C76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支持对报表进行授权控制</w:t>
      </w:r>
    </w:p>
    <w:p w14:paraId="6899DB1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支持报表多格式和报表组，一个报表可以有多张格式，使用同一组数据源</w:t>
      </w:r>
    </w:p>
    <w:p w14:paraId="7177058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设计完成后，支持将报表发布到导航台或模块内任意指定的位置</w:t>
      </w:r>
    </w:p>
    <w:p w14:paraId="7E1BF5C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系统管理工具</w:t>
      </w:r>
    </w:p>
    <w:p w14:paraId="11B0456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1.提供系统升迁管理，方便快捷完成系统升级。升迁准备有：禁用并中断客户端、锁定用户账号、禁用后台作业、禁用触发器等功能。</w:t>
      </w:r>
    </w:p>
    <w:p w14:paraId="3264761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提供数据管理功能，包括导出、导入、转移等操作</w:t>
      </w:r>
    </w:p>
    <w:p w14:paraId="5312FDC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提供注册码管理、系统运行日志、运行参数设置等功能</w:t>
      </w:r>
    </w:p>
    <w:p w14:paraId="1A9DFE8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提供实现各角色（岗位）人员操作权限设置管理功能</w:t>
      </w:r>
    </w:p>
    <w:p w14:paraId="3A3A4EF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提供操作菜单重组、自动提醒等其它后台服务功能</w:t>
      </w:r>
    </w:p>
    <w:p w14:paraId="0431C1C7">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1.11</w:t>
      </w:r>
      <w:r>
        <w:rPr>
          <w:rFonts w:hint="eastAsia" w:ascii="宋体" w:hAnsi="宋体" w:eastAsia="宋体" w:cs="宋体"/>
          <w:color w:val="000000" w:themeColor="text1"/>
          <w:sz w:val="24"/>
          <w:szCs w:val="24"/>
          <w14:textFill>
            <w14:solidFill>
              <w14:schemeClr w14:val="tx1"/>
            </w14:solidFill>
          </w14:textFill>
        </w:rPr>
        <w:t>临床信息系统（CIS）</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03E3AB8A">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门诊分诊管理系统</w:t>
      </w:r>
    </w:p>
    <w:p w14:paraId="503882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1.支持实时显示各诊室病人候诊、就诊状态</w:t>
      </w:r>
    </w:p>
    <w:p w14:paraId="22E42F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2.支持自动和手工分诊，可根据各诊室的闲忙状态进行分诊</w:t>
      </w:r>
    </w:p>
    <w:p w14:paraId="2708F92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3.支持病人信息编辑、换号、放弃就诊等功能</w:t>
      </w:r>
    </w:p>
    <w:p w14:paraId="1E4BE2B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4.支持特殊身份病人的优先就诊</w:t>
      </w:r>
    </w:p>
    <w:p w14:paraId="6044E56F">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门诊输液注射管理系统</w:t>
      </w:r>
    </w:p>
    <w:p w14:paraId="4E22CF8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1.支持输液病人排队管理，可同步显示到大屏幕（默认只支持液晶电视显示），提供语音呼叫功能。</w:t>
      </w:r>
    </w:p>
    <w:p w14:paraId="28815A9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2.支持座位管理功能及相应的费用管理。</w:t>
      </w:r>
    </w:p>
    <w:p w14:paraId="057C60A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3.支持各类单据的打印功能。</w:t>
      </w:r>
    </w:p>
    <w:p w14:paraId="0F953A7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4.支持病人寄存药品。</w:t>
      </w:r>
    </w:p>
    <w:p w14:paraId="6AF1BA5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5.支持输液监控功能，可计算输液时间和进度。</w:t>
      </w:r>
    </w:p>
    <w:p w14:paraId="568712F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6.支持病人登记后打印输液单，注射单，治疗单的功能，安排座位的要打印座位号及治疗顺序号。打印的单据要记录打印次数，时间备查。 </w:t>
      </w:r>
    </w:p>
    <w:p w14:paraId="16EE985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7.支持安排座位或床位要收费的，提供床位费和座位费的划价功能。 </w:t>
      </w:r>
    </w:p>
    <w:p w14:paraId="5A5643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8.支持补录其他费的划价功能。 </w:t>
      </w:r>
    </w:p>
    <w:p w14:paraId="3A658AE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9.能够满足病人寄存药品的要求 。</w:t>
      </w:r>
    </w:p>
    <w:p w14:paraId="648FC09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10.提供输液监控功能，在提供的滴速，滴系数，液体总量的情况下，能计算出大致的输液时间，并动态显示出来。 </w:t>
      </w:r>
    </w:p>
    <w:p w14:paraId="79DC9C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11.提供输液，注射，皮试的治疗结果记录。 </w:t>
      </w:r>
    </w:p>
    <w:p w14:paraId="1F6327F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12.提供其他治疗项目的治疗结果记录功能。</w:t>
      </w:r>
    </w:p>
    <w:p w14:paraId="3A009A47">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住院医生工作站</w:t>
      </w:r>
    </w:p>
    <w:p w14:paraId="442B591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1.支持自动获取病人基本信息如性别、年龄、住院号、病区、床号、诊断、病情、护理情况等</w:t>
      </w:r>
    </w:p>
    <w:p w14:paraId="4E05327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2.支持查阅病人历次住院相关信息，供诊疗参考</w:t>
      </w:r>
    </w:p>
    <w:p w14:paraId="386D4BF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3.支持医嘱下达、修改、删除、审核、停止、作废、回退、暂停、启用、重整等功能</w:t>
      </w:r>
    </w:p>
    <w:p w14:paraId="5408ACB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4.支持手术申请、会诊、转科、死亡、出院等特殊医嘱的处理</w:t>
      </w:r>
    </w:p>
    <w:p w14:paraId="6BD765E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5.支持医嘱自动关联各类申请单，并生成收费或记账信息，申请单格式可自定义</w:t>
      </w:r>
    </w:p>
    <w:p w14:paraId="416C9B2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6.支持自动生成相关卫生材料费用</w:t>
      </w:r>
    </w:p>
    <w:p w14:paraId="7E88A0A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7.支持提供成套医嘱功能，可将处方内容制定为模板，并支持个人、科室、全院三级模板管理</w:t>
      </w:r>
    </w:p>
    <w:p w14:paraId="5A87E1B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8.支持医嘱复制功能，可将相同或相似病例的医嘱复制为当前病人医嘱。</w:t>
      </w:r>
    </w:p>
    <w:p w14:paraId="29EAE20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9.支持以ICD疾病编码下达诊断，并可根据诊断自动提示填写传染病报告卡</w:t>
      </w:r>
    </w:p>
    <w:p w14:paraId="32EEEBE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10.支持医生根据需要设置个人常用医嘱</w:t>
      </w:r>
    </w:p>
    <w:p w14:paraId="12DC0AC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11.支持中草药处方录入，提供配方、方剂等功能</w:t>
      </w:r>
    </w:p>
    <w:p w14:paraId="1E97422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12.支持手工调整医嘱排列顺序</w:t>
      </w:r>
    </w:p>
    <w:p w14:paraId="2BD27AD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13.支持实时显示医嘱执行状态、计费状态等信息</w:t>
      </w:r>
    </w:p>
    <w:p w14:paraId="44BE357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14.支持产妇和新生儿医嘱分别管理和计费</w:t>
      </w:r>
    </w:p>
    <w:p w14:paraId="5015B6A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15.支持医疗小组管理</w:t>
      </w:r>
    </w:p>
    <w:p w14:paraId="6C0DD74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16.支持报告功能，可直接查看检验、检查报告和皮试结果等，并可根据皮试结果限制药品医嘱的发送</w:t>
      </w:r>
    </w:p>
    <w:p w14:paraId="6A087C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17.支持与合理用药系统（PASS）的接口，在其支持下可进行处方配伍禁忌、不良反应、相互作用、剂量审核等合理用药审核</w:t>
      </w:r>
    </w:p>
    <w:p w14:paraId="62A700B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抗菌药物分级管理系统</w:t>
      </w:r>
    </w:p>
    <w:p w14:paraId="3BD2FE9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1.支持抗菌药物的等级信息维护，支持抗菌药物目录的分级查阅和维护</w:t>
      </w:r>
    </w:p>
    <w:p w14:paraId="287EA53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2.支持用药目的登记，支持三级综合医院质控指标上报</w:t>
      </w:r>
    </w:p>
    <w:p w14:paraId="1D9573E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3.支持越级使用抗菌药品的明细和汇总统计表</w:t>
      </w:r>
    </w:p>
    <w:p w14:paraId="098BD92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4.支持用药申请、审核流程，支持医院管理部门集中审核或分科室审核</w:t>
      </w:r>
    </w:p>
    <w:p w14:paraId="551699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5.支持医生站查看审核状态和审核结果</w:t>
      </w:r>
    </w:p>
    <w:p w14:paraId="5F0C29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6.支持越级使用的用量、天数限制，以及用药理由登记控制</w:t>
      </w:r>
    </w:p>
    <w:p w14:paraId="709F326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7.支持在门诊处方中限制使用特殊使用级抗菌药物</w:t>
      </w:r>
    </w:p>
    <w:p w14:paraId="265ED0B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8.支持对自备药限制使用抗菌药物</w:t>
      </w:r>
    </w:p>
    <w:p w14:paraId="1E7A218D">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抗菌药物统计分析系统</w:t>
      </w:r>
    </w:p>
    <w:p w14:paraId="4E65D79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1.支持《抗菌药物监测网表格及要求》中对上报报表的要求</w:t>
      </w:r>
    </w:p>
    <w:p w14:paraId="340DA77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2.支持抗菌药品消耗金额调查表统计</w:t>
      </w:r>
    </w:p>
    <w:p w14:paraId="0ADF06C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3.支持（非）手术和手术病人抗菌药物使用情况抽样调查</w:t>
      </w:r>
    </w:p>
    <w:p w14:paraId="2913EC1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4.支持（非）手术和手术病人用药合理性评价意见表</w:t>
      </w:r>
    </w:p>
    <w:p w14:paraId="7C55FCF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5.支持门诊处方抗菌用药调查表统计</w:t>
      </w:r>
    </w:p>
    <w:p w14:paraId="09D7315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6.支持住院医嘱抗菌用药调查表统计</w:t>
      </w:r>
    </w:p>
    <w:p w14:paraId="1F8C3F0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7.支持抗菌药物使用情况排名统计</w:t>
      </w:r>
    </w:p>
    <w:p w14:paraId="6259DAE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8.支持Ⅰ类切口围术期预防用药统计</w:t>
      </w:r>
    </w:p>
    <w:p w14:paraId="2C2F01E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9.支持住院医嘱抗菌用药统计</w:t>
      </w:r>
    </w:p>
    <w:p w14:paraId="22696AD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10.支持手术后抗菌用药使用超N天统计</w:t>
      </w:r>
    </w:p>
    <w:p w14:paraId="4134851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11.支持医生治疗某疾病抗菌用药成本分析</w:t>
      </w:r>
    </w:p>
    <w:p w14:paraId="16E35632">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1.12</w:t>
      </w:r>
      <w:r>
        <w:rPr>
          <w:rFonts w:hint="eastAsia" w:ascii="宋体" w:hAnsi="宋体" w:eastAsia="宋体" w:cs="宋体"/>
          <w:color w:val="000000" w:themeColor="text1"/>
          <w:sz w:val="24"/>
          <w:szCs w:val="24"/>
          <w14:textFill>
            <w14:solidFill>
              <w14:schemeClr w14:val="tx1"/>
            </w14:solidFill>
          </w14:textFill>
        </w:rPr>
        <w:t>医技管理系统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2A6E798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医技执行管理系统</w:t>
      </w:r>
    </w:p>
    <w:p w14:paraId="6B39272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1.支持执行登记、取消、查询等基本功能</w:t>
      </w:r>
    </w:p>
    <w:p w14:paraId="0AA0E236">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2.支持执行操作的批处理</w:t>
      </w:r>
    </w:p>
    <w:p w14:paraId="5912E4A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3.支持项目执行过程中的补费</w:t>
      </w:r>
    </w:p>
    <w:p w14:paraId="44DA5C2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手术安排与费用管理系统</w:t>
      </w:r>
    </w:p>
    <w:p w14:paraId="080EA96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1.支持申请与安排功能，可管理包括手术名称、时间、手术医生、输血血型、输血量、术前术后诊断、切口等信息。</w:t>
      </w:r>
    </w:p>
    <w:p w14:paraId="358493D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2.支持手术/麻醉方案管理，可指定手术用药、材料、用血等。</w:t>
      </w:r>
    </w:p>
    <w:p w14:paraId="3A28F31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3.支持麻醉记录填写，包括麻醉方法、麻醉医生、麻醉效果、记录事项等。</w:t>
      </w:r>
    </w:p>
    <w:p w14:paraId="50021AC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4.支持与门诊及住院医生工作站之间的信息高度共享。</w:t>
      </w:r>
    </w:p>
    <w:p w14:paraId="7BCA66A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5.支持手术方案模板自定义，可将用药、材料、适用手术预制为模板以供快速调用。</w:t>
      </w:r>
    </w:p>
    <w:p w14:paraId="1ED152D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6.系统支持术前医嘱转为手术申请单。</w:t>
      </w:r>
    </w:p>
    <w:p w14:paraId="5F63B5E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7.支持手术室对临床科室申请（预约）的手术根据有关规定，进行审核处理。</w:t>
      </w:r>
    </w:p>
    <w:p w14:paraId="0F4566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8.支持手术排班：包括手术医生、麻醉师及护士排班。</w:t>
      </w:r>
    </w:p>
    <w:p w14:paraId="7471C76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9.申请确认后自动生成相应手术医嘱。</w:t>
      </w:r>
    </w:p>
    <w:p w14:paraId="4BFC705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10.支持术前处理：手术申请预约、术前准备、麻醉科会诊 、手术同意书、手术器械准备等。</w:t>
      </w:r>
    </w:p>
    <w:p w14:paraId="2E6DDDD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11.支持术中处理：提供患者基本信息、手术相关信息、医护人员信息、麻醉信息、核查手术名称及配血报告、术前用药、药敏试验结果等；支持填写麻醉记录单等。</w:t>
      </w:r>
    </w:p>
    <w:p w14:paraId="47E3879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12.支持术后处理：提供手术记录、麻醉记录、患者生命体症记录、术后随访记录等。</w:t>
      </w:r>
    </w:p>
    <w:p w14:paraId="7ED4D46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13.术后材料清点并自动与术前核对报警功能。</w:t>
      </w:r>
    </w:p>
    <w:p w14:paraId="45E5C15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14.支持术后随访记录填写自动归档进入电子病历。</w:t>
      </w:r>
    </w:p>
    <w:p w14:paraId="1A36465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15.根据手术方案与手术记录自动产生相关费用。</w:t>
      </w:r>
    </w:p>
    <w:p w14:paraId="2F34A85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16.手术、麻醉申请与审批：根据有关规定完成手术、麻醉的申请和审批。</w:t>
      </w:r>
    </w:p>
    <w:p w14:paraId="122A97F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17.提供手术复苏记录功能。</w:t>
      </w:r>
    </w:p>
    <w:p w14:paraId="0715162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18.提供费用处理功能。</w:t>
      </w:r>
    </w:p>
    <w:p w14:paraId="4EFFC92F">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1.13</w:t>
      </w:r>
      <w:r>
        <w:rPr>
          <w:rFonts w:hint="eastAsia" w:ascii="宋体" w:hAnsi="宋体" w:eastAsia="宋体" w:cs="宋体"/>
          <w:color w:val="000000" w:themeColor="text1"/>
          <w:sz w:val="24"/>
          <w:szCs w:val="24"/>
          <w14:textFill>
            <w14:solidFill>
              <w14:schemeClr w14:val="tx1"/>
            </w14:solidFill>
          </w14:textFill>
        </w:rPr>
        <w:t>运营管理系统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45D5E2F2">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药库管理与药品会计系统</w:t>
      </w:r>
    </w:p>
    <w:p w14:paraId="397033B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1.支持药品字典库维护功能(如品种、价格、单位、规格、批号、生产厂家、供货商、包装单位等信息以及医保类别和处方药标志等) ，支持一药多名</w:t>
      </w:r>
    </w:p>
    <w:p w14:paraId="207C7FC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2.支持药品配伍禁忌、用法用量、处方职务、适用性别、存储条件等属性的管理</w:t>
      </w:r>
    </w:p>
    <w:p w14:paraId="633E7A5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3.支持自动接收科室领药单、自动生成采购计划</w:t>
      </w:r>
    </w:p>
    <w:p w14:paraId="6EE72F6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4.支持药品入库、出库、调价、调拨、盘点、报损、退药等功能</w:t>
      </w:r>
    </w:p>
    <w:p w14:paraId="36130C5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5.支持药品会计核算功能，可随时生成各种药品的入库、出库、盘点、调价、调拨、报损、退药明细及汇总数据，报表格式可根据业务需要自定义；提供药品采购应付款管理、付款计划管理功能</w:t>
      </w:r>
    </w:p>
    <w:p w14:paraId="13CD31D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6.支持药品分零和时价管理</w:t>
      </w:r>
    </w:p>
    <w:p w14:paraId="41FCA1A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7.支持药品的有效期管理、可统计过期药品明细，并有库存量提示功能</w:t>
      </w:r>
    </w:p>
    <w:p w14:paraId="13D13F4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8.支持自定义药库、药房等各级包装单位及其换算关系</w:t>
      </w:r>
    </w:p>
    <w:p w14:paraId="5D7583E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9.支持药品调价，以及指定时间预调价，记录调价的明细、时间及原因、盈亏等信息</w:t>
      </w:r>
    </w:p>
    <w:p w14:paraId="0052DB9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10.支持设备多个药品库房，以及自定义药品在库房之间的流向</w:t>
      </w:r>
    </w:p>
    <w:p w14:paraId="51E3178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11.支持药品溯源码全流程追踪管理</w:t>
      </w:r>
    </w:p>
    <w:p w14:paraId="05BFD89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后勤物资管理系统</w:t>
      </w:r>
    </w:p>
    <w:p w14:paraId="2BE43E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1.支持根据各部门的申购单自动生成采购计划</w:t>
      </w:r>
    </w:p>
    <w:p w14:paraId="6E35AE1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2.支持物资的目录管理，设置包装单位、存储条件、灭菌效期、是否分批等属性</w:t>
      </w:r>
    </w:p>
    <w:p w14:paraId="1C65D91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3.支持按不同方法对物资进行核算，包括先进先出法、移动平均法等</w:t>
      </w:r>
    </w:p>
    <w:p w14:paraId="0A46AA0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4.支持物资外购、自制、其他入库、移库、领用、盘点管理等功能</w:t>
      </w:r>
    </w:p>
    <w:p w14:paraId="53F520B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5.支持对在用物资进行权属变更、维修、报废、分摊等管理</w:t>
      </w:r>
    </w:p>
    <w:p w14:paraId="7DF3D37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卫生材料管理系统</w:t>
      </w:r>
    </w:p>
    <w:p w14:paraId="0E0503D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1.支持根据各部门的申购单自动生成采购计划</w:t>
      </w:r>
    </w:p>
    <w:p w14:paraId="7170B67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2.支持卫生材料目录管理，设置包装单位、灭菌效期、是否分批等属性</w:t>
      </w:r>
    </w:p>
    <w:p w14:paraId="0C14633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3.支持卫材外购、自制、其他入库、移库、领用、盘点、发放管理等功能</w:t>
      </w:r>
    </w:p>
    <w:p w14:paraId="052E541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4.支持针对高值卫生材料的管理，支持条码管理</w:t>
      </w:r>
    </w:p>
    <w:p w14:paraId="71FB8D4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5.支持卫生材料溯源码全流程追踪管理</w:t>
      </w:r>
    </w:p>
    <w:p w14:paraId="5D5D223D">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设备管理系统</w:t>
      </w:r>
    </w:p>
    <w:p w14:paraId="5EFCD4B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1.支持根据各部门的申购单自动生成采购计划</w:t>
      </w:r>
    </w:p>
    <w:p w14:paraId="2479E93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2.支持设备卡片管理，支持自定义卡片格式</w:t>
      </w:r>
    </w:p>
    <w:p w14:paraId="73F5CB2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3.支持设备入库、出库、调拨、领用、盘点、退库、保养、检查、维修、变动、下帐等管理功能</w:t>
      </w:r>
    </w:p>
    <w:p w14:paraId="377FC35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4.支持设备折旧管理，支持灵活的设备折旧算法</w:t>
      </w:r>
    </w:p>
    <w:p w14:paraId="58F77239">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5.支持对设备总帐、明细帐及各类使用、维修数据的统计分析功能</w:t>
      </w:r>
    </w:p>
    <w:p w14:paraId="27E5DC6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领导综合查询</w:t>
      </w:r>
    </w:p>
    <w:p w14:paraId="38456A9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1.提供按照医院需求个性化定制统计报表格式</w:t>
      </w:r>
    </w:p>
    <w:p w14:paraId="5A179A9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2.提供医院资源方面的统计报表如收费项目、科室资源等</w:t>
      </w:r>
    </w:p>
    <w:p w14:paraId="569199D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3.提供医疗经济信息方面的统计报表如全院收入、分科收入、未结费用筀</w:t>
      </w:r>
    </w:p>
    <w:p w14:paraId="2AC7E64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4.提供医疗动态方面的统计报表如门急诊人次、在院病人分布等</w:t>
      </w:r>
    </w:p>
    <w:p w14:paraId="51D9564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5.提供效率方面的统计报表如质量、工作量分析、费用分析等</w:t>
      </w:r>
    </w:p>
    <w:p w14:paraId="19D0D0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6.提供药品、卫材方面的统计报表如用药分析、流向跟踪等</w:t>
      </w:r>
    </w:p>
    <w:p w14:paraId="7ADB49A9">
      <w:pPr>
        <w:pStyle w:val="5"/>
        <w:pageBreakBefore w:val="0"/>
        <w:numPr>
          <w:numId w:val="0"/>
        </w:numPr>
        <w:kinsoku/>
        <w:wordWrap/>
        <w:overflowPunct/>
        <w:topLinePunct w:val="0"/>
        <w:autoSpaceDE/>
        <w:autoSpaceDN/>
        <w:bidi w:val="0"/>
        <w:snapToGrid w:val="0"/>
        <w:spacing w:before="0" w:after="0"/>
        <w:ind w:left="986" w:leftChars="114" w:hanging="747" w:hangingChars="31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1.14</w:t>
      </w:r>
      <w:r>
        <w:rPr>
          <w:rFonts w:hint="eastAsia" w:ascii="宋体" w:hAnsi="宋体" w:eastAsia="宋体" w:cs="宋体"/>
          <w:color w:val="000000" w:themeColor="text1"/>
          <w:sz w:val="24"/>
          <w:szCs w:val="24"/>
          <w14:textFill>
            <w14:solidFill>
              <w14:schemeClr w14:val="tx1"/>
            </w14:solidFill>
          </w14:textFill>
        </w:rPr>
        <w:t>病案管理系统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49A5DB1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1.支持病案首页管理功能，包含病人基本信息、住院、诊断、手术、过敏、费用、治疗结果等内容，并支持根据规则对内容进行检查、质控</w:t>
      </w:r>
    </w:p>
    <w:p w14:paraId="7AD212FC">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2.支持多种对病案的检索方式</w:t>
      </w:r>
    </w:p>
    <w:p w14:paraId="682F386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lang w:eastAsia="zh"/>
          <w14:textFill>
            <w14:solidFill>
              <w14:schemeClr w14:val="tx1"/>
            </w14:solidFill>
          </w14:textFill>
          <w:woUserID w:val="8"/>
        </w:rPr>
      </w:pPr>
      <w:r>
        <w:rPr>
          <w:rFonts w:hint="eastAsia" w:ascii="宋体" w:hAnsi="宋体" w:eastAsia="宋体" w:cs="宋体"/>
          <w:color w:val="000000" w:themeColor="text1"/>
          <w:sz w:val="24"/>
          <w:szCs w:val="24"/>
          <w14:textFill>
            <w14:solidFill>
              <w14:schemeClr w14:val="tx1"/>
            </w14:solidFill>
          </w14:textFill>
        </w:rPr>
        <w:t>3.支持病案的借阅管理功能</w:t>
      </w:r>
      <w:r>
        <w:rPr>
          <w:rFonts w:hint="eastAsia" w:ascii="宋体" w:hAnsi="宋体" w:eastAsia="宋体" w:cs="宋体"/>
          <w:color w:val="000000" w:themeColor="text1"/>
          <w:sz w:val="24"/>
          <w:szCs w:val="24"/>
          <w:lang w:eastAsia="zh"/>
          <w14:textFill>
            <w14:solidFill>
              <w14:schemeClr w14:val="tx1"/>
            </w14:solidFill>
          </w14:textFill>
          <w:woUserID w:val="8"/>
        </w:rPr>
        <w:t>，病案示踪功能</w:t>
      </w:r>
    </w:p>
    <w:p w14:paraId="7693556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4.支持各类标准编码规范，包括ICD－10疾病编码、手术编码、损伤中毒码、肿瘤编码、中医疾病编码等</w:t>
      </w:r>
    </w:p>
    <w:p w14:paraId="0D41358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5.支持门、急诊和住院日报的自动读取或手工录入功能</w:t>
      </w:r>
    </w:p>
    <w:p w14:paraId="19AF4A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6.支持满足政策和管理要求的各种报表，包括各类卫统表、自定义报表等</w:t>
      </w:r>
    </w:p>
    <w:p w14:paraId="74C9A46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7.支持随诊管理功能</w:t>
      </w:r>
    </w:p>
    <w:p w14:paraId="0C6DB58B">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lang w:eastAsia="zh"/>
          <w14:textFill>
            <w14:solidFill>
              <w14:schemeClr w14:val="tx1"/>
            </w14:solidFill>
          </w14:textFill>
          <w:woUserID w:val="8"/>
        </w:rPr>
      </w:pPr>
      <w:r>
        <w:rPr>
          <w:rFonts w:hint="eastAsia" w:ascii="宋体" w:hAnsi="宋体" w:eastAsia="宋体" w:cs="宋体"/>
          <w:color w:val="000000" w:themeColor="text1"/>
          <w:sz w:val="24"/>
          <w:szCs w:val="24"/>
          <w:lang w:eastAsia="zh"/>
          <w14:textFill>
            <w14:solidFill>
              <w14:schemeClr w14:val="tx1"/>
            </w14:solidFill>
          </w14:textFill>
          <w:woUserID w:val="8"/>
        </w:rPr>
        <w:t>8.支持与</w:t>
      </w:r>
    </w:p>
    <w:p w14:paraId="76B5F5EF">
      <w:pPr>
        <w:pStyle w:val="5"/>
        <w:pageBreakBefore w:val="0"/>
        <w:numPr>
          <w:numId w:val="0"/>
        </w:numPr>
        <w:kinsoku/>
        <w:wordWrap/>
        <w:overflowPunct/>
        <w:topLinePunct w:val="0"/>
        <w:autoSpaceDE/>
        <w:autoSpaceDN/>
        <w:bidi w:val="0"/>
        <w:snapToGrid w:val="0"/>
        <w:spacing w:before="0" w:after="0"/>
        <w:ind w:left="986" w:leftChars="114" w:hanging="747" w:hangingChars="31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1.15</w:t>
      </w:r>
      <w:r>
        <w:rPr>
          <w:rFonts w:hint="eastAsia" w:ascii="宋体" w:hAnsi="宋体" w:eastAsia="宋体" w:cs="宋体"/>
          <w:color w:val="000000" w:themeColor="text1"/>
          <w:sz w:val="24"/>
          <w:szCs w:val="24"/>
          <w14:textFill>
            <w14:solidFill>
              <w14:schemeClr w14:val="tx1"/>
            </w14:solidFill>
          </w14:textFill>
        </w:rPr>
        <w:t>一卡通管理系统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3DA8DA4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1.支持发卡、退卡、充值、挂失、密码设置/修改、补卡等功能，查询卡片状态</w:t>
      </w:r>
    </w:p>
    <w:p w14:paraId="11CA5A1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2.支持通过就诊卡快速提取病人信息和费用信息，完成身份识别和结算功能</w:t>
      </w:r>
    </w:p>
    <w:p w14:paraId="1AEDFF3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3.支持作为自助服务的身份凭证</w:t>
      </w:r>
    </w:p>
    <w:p w14:paraId="3764ADE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4.支持IC卡、磁卡、条码（卡）、二代居民身份证等多种卡片介质</w:t>
      </w:r>
    </w:p>
    <w:p w14:paraId="2C71723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5.支持建立病人基本信息和诊疗档案，自动识别复诊病人，支持查询历次就诊记录</w:t>
      </w:r>
    </w:p>
    <w:p w14:paraId="1737209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6.支持预存款模式，支持门诊预交与住院预交分别管理，并实现预交金互转</w:t>
      </w:r>
    </w:p>
    <w:p w14:paraId="38E90ED4">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7.支持就诊卡在执行端（如检验、检查科室等）刷卡确认扣费</w:t>
      </w:r>
    </w:p>
    <w:p w14:paraId="5FEA9EAD">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8.支持通过接口让银行卡在院内作为一卡通结算（必须与发卡银行进行接口，费用另计）</w:t>
      </w:r>
    </w:p>
    <w:p w14:paraId="46D62D8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9.支持与第三方机构(银行等)合作,利用三方机构的网站平台，自助平台(ATM机)，业务窗口等基础资源平台实现病人的预约、挂号、缴费、查询等医院业务（必须与第三方平台进行接口，费用另计）</w:t>
      </w:r>
    </w:p>
    <w:p w14:paraId="219CCC3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10.门诊诊间无卡支付（需要依赖银医一卡通)，门诊医生发送医嘱的时候扣费，扣费直接从后台连接病人银行卡，从银行卡中扣除，病人无须去排队缴费，即可完成诊疗费用的支付</w:t>
      </w:r>
    </w:p>
    <w:p w14:paraId="45151D1B">
      <w:pPr>
        <w:pStyle w:val="5"/>
        <w:pageBreakBefore w:val="0"/>
        <w:numPr>
          <w:numId w:val="0"/>
        </w:numPr>
        <w:kinsoku/>
        <w:wordWrap/>
        <w:overflowPunct/>
        <w:topLinePunct w:val="0"/>
        <w:autoSpaceDE/>
        <w:autoSpaceDN/>
        <w:bidi w:val="0"/>
        <w:snapToGrid w:val="0"/>
        <w:spacing w:before="0" w:after="0"/>
        <w:ind w:left="986" w:leftChars="114" w:hanging="747" w:hangingChars="31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1.16</w:t>
      </w:r>
      <w:r>
        <w:rPr>
          <w:rFonts w:hint="eastAsia" w:ascii="宋体" w:hAnsi="宋体" w:eastAsia="宋体" w:cs="宋体"/>
          <w:color w:val="000000" w:themeColor="text1"/>
          <w:sz w:val="24"/>
          <w:szCs w:val="24"/>
          <w14:textFill>
            <w14:solidFill>
              <w14:schemeClr w14:val="tx1"/>
            </w14:solidFill>
          </w14:textFill>
        </w:rPr>
        <w:t>各类接口</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60A76E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医保接口</w:t>
      </w:r>
    </w:p>
    <w:p w14:paraId="6A7FD9C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提供医保病人费用处理功能，包括身份验证、费用划分、上传及统计等</w:t>
      </w:r>
    </w:p>
    <w:p w14:paraId="45D17B2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提供维护功能，包括对维护药品、诊疗目录并与医院信息系统中的字典进行对照维护等。</w:t>
      </w:r>
    </w:p>
    <w:p w14:paraId="106F8B2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医院在用政策类接口</w:t>
      </w:r>
    </w:p>
    <w:p w14:paraId="2239F8D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医院在用政策类接口，包含不限于DRG、电子发票等。</w:t>
      </w:r>
    </w:p>
    <w:p w14:paraId="250B0C6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4C6B909">
      <w:pPr>
        <w:pStyle w:val="5"/>
        <w:pageBreakBefore w:val="0"/>
        <w:numPr>
          <w:numId w:val="0"/>
        </w:numPr>
        <w:kinsoku/>
        <w:wordWrap/>
        <w:overflowPunct/>
        <w:topLinePunct w:val="0"/>
        <w:autoSpaceDE/>
        <w:autoSpaceDN/>
        <w:bidi w:val="0"/>
        <w:snapToGrid w:val="0"/>
        <w:spacing w:before="0" w:after="0"/>
        <w:ind w:left="986" w:leftChars="114" w:hanging="747" w:hangingChars="31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1.17</w:t>
      </w:r>
      <w:r>
        <w:rPr>
          <w:rFonts w:hint="eastAsia" w:ascii="宋体" w:hAnsi="宋体" w:eastAsia="宋体" w:cs="宋体"/>
          <w:color w:val="000000" w:themeColor="text1"/>
          <w:sz w:val="24"/>
          <w:szCs w:val="24"/>
          <w14:textFill>
            <w14:solidFill>
              <w14:schemeClr w14:val="tx1"/>
            </w14:solidFill>
          </w14:textFill>
        </w:rPr>
        <w:t>临床路径管理系统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16B5767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1.支持临床路径表单定制功能，支持路径及具体内容的增删、审批以及版本管理等功能</w:t>
      </w:r>
    </w:p>
    <w:p w14:paraId="4A8FB30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2.支持导出/导入路径表单</w:t>
      </w:r>
    </w:p>
    <w:p w14:paraId="05D361DF">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3.支持操作人员对路径的进入、阶段情况进行评估，以确认是否可以进入下一阶段</w:t>
      </w:r>
    </w:p>
    <w:p w14:paraId="195E4B15">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4.支持随时查阅病人费用情况，并对费用进行评估</w:t>
      </w:r>
    </w:p>
    <w:p w14:paraId="5173186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5.支持统计分析功能（入径率、变动分析等），分析变异原因</w:t>
      </w:r>
    </w:p>
    <w:p w14:paraId="477C14F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6.支持根据诊断自动提示进入临床路径</w:t>
      </w:r>
    </w:p>
    <w:p w14:paraId="7E3D10A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7.支持住院中途进入路径，可根据病人实际病情对路径进行必要的调整与变更，允许医生在一定范围内选择实际生成的路径项目</w:t>
      </w:r>
    </w:p>
    <w:p w14:paraId="07B40CF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8.支持路径表单自动生成每天的路径项目，支持路径项目批量执行</w:t>
      </w:r>
    </w:p>
    <w:p w14:paraId="2161373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9.支持分支路径和备用路径，满足并发症、局部治疗措施不确定等情况，发挥医生的主观能动性</w:t>
      </w:r>
    </w:p>
    <w:p w14:paraId="299025A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10.支持合并路径，满足常见合并症和并发症的处理</w:t>
      </w:r>
    </w:p>
    <w:p w14:paraId="1A00538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11.支持路径跳转，以及对路径阶段的提前或延后，并跟踪原因</w:t>
      </w:r>
    </w:p>
    <w:p w14:paraId="19903051">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12.支持增加路径外项目并记录原因</w:t>
      </w:r>
    </w:p>
    <w:p w14:paraId="4B9A4C98">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13.支持变异退出身份验证/权限控制</w:t>
      </w:r>
    </w:p>
    <w:p w14:paraId="797953C2">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14.支持会诊管理，可共享会诊病人的路径信息</w:t>
      </w:r>
    </w:p>
    <w:p w14:paraId="3E8F32F0">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15.支持患者版路径表，为医患沟通提供更多信息支持</w:t>
      </w:r>
    </w:p>
    <w:p w14:paraId="16A1E59A">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16.支持根据路径项目内容准确估算后续治疗费用，使医护患三方都能准确掌握费用情况</w:t>
      </w:r>
    </w:p>
    <w:p w14:paraId="5BF1F233">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17.支持移动环境应用，医护人员在移动环境下也能及时共享路径信息，尤其是方便医生查房时了解路径的执行进展情况</w:t>
      </w:r>
    </w:p>
    <w:p w14:paraId="5EF800BE">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18.支持临床路径表辅助改进功能，在对自定义时间范围内的临床路径进行自动变异分析之后，可以辅助路径管理者对临床路径进行改进，生成新的路径表单</w:t>
      </w:r>
    </w:p>
    <w:p w14:paraId="6B417507">
      <w:pPr>
        <w:pageBreakBefore w:val="0"/>
        <w:kinsoku/>
        <w:wordWrap/>
        <w:overflowPunct/>
        <w:topLinePunct w:val="0"/>
        <w:autoSpaceDE/>
        <w:autoSpaceDN/>
        <w:bidi w:val="0"/>
        <w:adjustRightInd w:val="0"/>
        <w:snapToGrid w:val="0"/>
        <w:ind w:left="0" w:firstLine="480" w:firstLineChars="200"/>
        <w:rPr>
          <w:rFonts w:hint="eastAsia" w:ascii="宋体" w:hAnsi="宋体" w:eastAsia="宋体" w:cs="宋体"/>
          <w:color w:val="000000" w:themeColor="text1"/>
          <w:sz w:val="24"/>
          <w:szCs w:val="24"/>
          <w14:textFill>
            <w14:solidFill>
              <w14:schemeClr w14:val="tx1"/>
            </w14:solidFill>
          </w14:textFill>
        </w:rPr>
      </w:pPr>
    </w:p>
    <w:p w14:paraId="49337EFC">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bookmarkStart w:id="21" w:name="_Toc113915160"/>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1.18</w:t>
      </w:r>
      <w:r>
        <w:rPr>
          <w:rFonts w:hint="eastAsia" w:ascii="宋体" w:hAnsi="宋体" w:eastAsia="宋体" w:cs="宋体"/>
          <w:color w:val="000000" w:themeColor="text1"/>
          <w:sz w:val="24"/>
          <w:szCs w:val="24"/>
          <w14:textFill>
            <w14:solidFill>
              <w14:schemeClr w14:val="tx1"/>
            </w14:solidFill>
          </w14:textFill>
        </w:rPr>
        <w:t>检验信息系统（LIS）</w:t>
      </w:r>
      <w:bookmarkEnd w:id="21"/>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79B63A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支持在采样环节打印条形码；</w:t>
      </w:r>
    </w:p>
    <w:p w14:paraId="7F4C1E1E">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支持在核收环节，以条形码为唯一标识与HIS系统进行检验医嘱、计费与检验结果回传；</w:t>
      </w:r>
    </w:p>
    <w:p w14:paraId="262C542B">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支持在全院范围内，基于此条码查询检验报告。</w:t>
      </w:r>
    </w:p>
    <w:p w14:paraId="0DA5C56C">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采用条码方式对标本进行管理，记载检验流程，实时掌握标本和实验状态。</w:t>
      </w:r>
    </w:p>
    <w:p w14:paraId="2B9384D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负责医院所提供设备清单中所有检验设备的接入、采集、存储与传输。</w:t>
      </w:r>
    </w:p>
    <w:p w14:paraId="555D212C">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全面支持条形码管理，从样本采集开始，为每个样本打印条形码，在整个样本的传递、联机检验、报告发布和报告查询过程中，以条形码作为唯一的标识，进行检验信息的建立、维护和检索。</w:t>
      </w:r>
    </w:p>
    <w:p w14:paraId="70CE7DBB">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不仅要满足检验科的生化、免疫、临检、血液等常规检验专业的要求，还应能全面支持微生物等特殊检验专业。</w:t>
      </w:r>
    </w:p>
    <w:p w14:paraId="3CBA6C97">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对上述每个专业，应提供检验申请、样本采集、样本核收、联机检验、报告审核、到报告发布的全环节中的信息化管理。</w:t>
      </w:r>
    </w:p>
    <w:p w14:paraId="56E4A7DC">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扫描条形码，接受标本，确认标本已到达检验科。系统可自动接收标本并根据检验项目的不同自动提示测定仪器。</w:t>
      </w:r>
    </w:p>
    <w:p w14:paraId="1D0875F2">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门诊采血室、住院病房护士站打印条码贴于试管并采血</w:t>
      </w:r>
    </w:p>
    <w:p w14:paraId="68A18247">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检验科样本接受、分检中心进行条码扫描识别，录入相关检验信息，并可手工录入检验申请单；</w:t>
      </w:r>
    </w:p>
    <w:p w14:paraId="170FD4E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实现打印样本工作清单；记录采样者、采样日期、采样时间等；</w:t>
      </w:r>
    </w:p>
    <w:p w14:paraId="556880F5">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实现键盘录入、修改检验结果，包括单个和成批方式；实现撤销已审定未发布检验报告；</w:t>
      </w:r>
    </w:p>
    <w:p w14:paraId="25281052">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实现自动生成计算项目，判定结果高低状态并标示；实现区别常规报告、急诊报告、打印报告、未打印报告；</w:t>
      </w:r>
    </w:p>
    <w:p w14:paraId="0D06E10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实现组内和组间的报告合并；实现单个报告审核，或者批量报告审核；</w:t>
      </w:r>
    </w:p>
    <w:p w14:paraId="5BF4593B">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实现用当前结果与历史结果的比对并图形显示；</w:t>
      </w:r>
    </w:p>
    <w:p w14:paraId="48101E66">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能单个或成批打印各专业检验报告，供临床部门使用；</w:t>
      </w:r>
    </w:p>
    <w:p w14:paraId="2D6B1376">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实现自动接收仪器的质控结果；</w:t>
      </w:r>
    </w:p>
    <w:p w14:paraId="7FD658A0">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实现绘制质控图、标示结果失控或在控状态并打印输出；</w:t>
      </w:r>
    </w:p>
    <w:p w14:paraId="5D12EC42">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实现支持多规则质控，即Westguard规则；</w:t>
      </w:r>
    </w:p>
    <w:p w14:paraId="39FE7CD0">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实现同一项目不同浓度的质控图比较,同一项目不同仪器的质控图比较,同一项目不同时期的质控图比较；</w:t>
      </w:r>
    </w:p>
    <w:p w14:paraId="7307136C">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实现按病人姓名、性别、年龄、科别、病区、病房、病床、检验医师、项目、病历号、样本号、采样时间、核收日期、诊断类型、收费类型、检验小组、审核医生等条件进行查询并打印；</w:t>
      </w:r>
    </w:p>
    <w:p w14:paraId="71810A98">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实现按单项条件快速查询并打印,实现按多项条件组合复杂查询并打印；</w:t>
      </w:r>
    </w:p>
    <w:p w14:paraId="7E806CD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具有按照多种条件统计检验样本量；具有按照多种条件统计检验工作 量；具有按照多种条件统计检验收费情况；</w:t>
      </w:r>
    </w:p>
    <w:p w14:paraId="1FDD6009">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具有分析检验结果的多种方式；</w:t>
      </w:r>
    </w:p>
    <w:p w14:paraId="0AB9F597">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实现根据不同的检验类型、样本类型对单一项目可以设置多种计费方式；实现根据不同费别的检验报告设置多种计费方式；</w:t>
      </w:r>
    </w:p>
    <w:p w14:paraId="1B0F5DC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具备完善的日志管理，可记录每个进入系统人员的操作内容；</w:t>
      </w:r>
    </w:p>
    <w:p w14:paraId="378E40F0">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可进行退单和退费：必须通过检验科有相关权限的人员通过退单或退费程序来取消检验或者退费；</w:t>
      </w:r>
    </w:p>
    <w:p w14:paraId="675E0B41">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具备多层权限控制，不同组、不同检验技师拥有不同的操作口令；</w:t>
      </w:r>
    </w:p>
    <w:p w14:paraId="1DE2B52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具备多种权限管理，不同的用户设置不同的操作权力；</w:t>
      </w:r>
    </w:p>
    <w:p w14:paraId="1D4D3CCB">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实现检验数据的备份与恢复功能；实现检验数据整理、修复功能；</w:t>
      </w:r>
    </w:p>
    <w:p w14:paraId="3721E920">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支持单向通讯，计算机自动接收仪器检验结果；支持双向通讯，计算机不仅自动接收仪器检验结果，还能向仪器发送检验项目，以便仪器按指定项目检验分析样本；</w:t>
      </w:r>
    </w:p>
    <w:p w14:paraId="2AF93F00">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支持文件导入和手工录入：对部分不具备通讯接口的检验仪器，可以采用文件导入或手工录入方式，加入检验结果。</w:t>
      </w:r>
    </w:p>
    <w:p w14:paraId="36F2BCB1">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室内质评能实现系统设置、开展新的质评、录入质评数据、上传质评数据、接受质评得分、数据查询、查看回报表、系统维护、用户管理及数据接口等功能；</w:t>
      </w:r>
    </w:p>
    <w:p w14:paraId="193D960A">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实现检验科试剂、耗材管理功能：试剂、耗材的出入库管理，库存报警、库存盘点及报表等功能；</w:t>
      </w:r>
    </w:p>
    <w:p w14:paraId="6AB1B8E6">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系统支持预制条码及自助打印条码功能；具有异常检验结果在医生工作站实现短信通知功能；</w:t>
      </w:r>
    </w:p>
    <w:p w14:paraId="3F0F4365">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数据采集</w:t>
      </w:r>
    </w:p>
    <w:p w14:paraId="47994C7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资料录入</w:t>
      </w:r>
    </w:p>
    <w:p w14:paraId="5F18263C">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报告审核打印</w:t>
      </w:r>
    </w:p>
    <w:p w14:paraId="3C7FA8E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统计学处理</w:t>
      </w:r>
    </w:p>
    <w:p w14:paraId="0880AA33">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实时监测</w:t>
      </w:r>
    </w:p>
    <w:p w14:paraId="4B0E240B">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对结果实现电子化查询</w:t>
      </w:r>
    </w:p>
    <w:p w14:paraId="788998B4">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质量控制系统</w:t>
      </w:r>
    </w:p>
    <w:p w14:paraId="51B42202">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自动计费</w:t>
      </w:r>
    </w:p>
    <w:p w14:paraId="068980DE">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统计报表</w:t>
      </w:r>
    </w:p>
    <w:p w14:paraId="64218BD4">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病人结果历史数据对比</w:t>
      </w:r>
    </w:p>
    <w:p w14:paraId="75FE3348">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病人结果动态图</w:t>
      </w:r>
    </w:p>
    <w:p w14:paraId="3402473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结果长期保存</w:t>
      </w:r>
    </w:p>
    <w:p w14:paraId="5673F98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数据实时共享</w:t>
      </w:r>
    </w:p>
    <w:p w14:paraId="3A3982DF">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试剂耗材管理功能</w:t>
      </w:r>
    </w:p>
    <w:p w14:paraId="4B5E6706">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自动识别系统</w:t>
      </w:r>
    </w:p>
    <w:p w14:paraId="7FA32BFD">
      <w:pPr>
        <w:pageBreakBefore w:val="0"/>
        <w:numPr>
          <w:ilvl w:val="0"/>
          <w:numId w:val="18"/>
        </w:numPr>
        <w:kinsoku/>
        <w:wordWrap/>
        <w:overflowPunct/>
        <w:topLinePunct w:val="0"/>
        <w:autoSpaceDE/>
        <w:autoSpaceDN/>
        <w:bidi w:val="0"/>
        <w:snapToGrid w:val="0"/>
        <w:ind w:left="0" w:hanging="480" w:hanging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与病区联网</w:t>
      </w:r>
    </w:p>
    <w:p w14:paraId="31DB8ECF">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1.19</w:t>
      </w:r>
      <w:r>
        <w:rPr>
          <w:rFonts w:hint="eastAsia" w:ascii="宋体" w:hAnsi="宋体" w:eastAsia="宋体" w:cs="宋体"/>
          <w:color w:val="000000" w:themeColor="text1"/>
          <w:sz w:val="24"/>
          <w:szCs w:val="24"/>
          <w14:textFill>
            <w14:solidFill>
              <w14:schemeClr w14:val="tx1"/>
            </w14:solidFill>
          </w14:textFill>
        </w:rPr>
        <w:t>危急值管理系统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4F02657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 危急值预警</w:t>
      </w:r>
    </w:p>
    <w:p w14:paraId="29FAED3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当仪器输出的检验结果超过预先设置的最宽预警条件（数值界限）时，LIS系统提示有危急值需要进行处理，可以在检验科工作区域安装屏幕，对于预警的危急值可以更直观更醒目的进行显示提醒。</w:t>
      </w:r>
    </w:p>
    <w:p w14:paraId="1A6ACA7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 标本处理与审核</w:t>
      </w:r>
    </w:p>
    <w:p w14:paraId="0DE62AA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检验科工作人员对于预警的标本进行核对，检查采集是否规范，检查质控是否在控，仪器运行是否正常，必要时需重新采集标本进行复查，最后对标本进行审核。</w:t>
      </w:r>
    </w:p>
    <w:p w14:paraId="51FDE51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 危急值报告</w:t>
      </w:r>
    </w:p>
    <w:p w14:paraId="144B4AB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危急值的报告根据病人的年龄、性别、科别、临床诊断、标本种类来区分，例白血病的病人，白细胞低不用每次都报危急值，根据病人诊断或科别可以设置只需要首次报或相邻两次结果差异大时进行回报。</w:t>
      </w:r>
    </w:p>
    <w:p w14:paraId="277E761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 危急值接报</w:t>
      </w:r>
    </w:p>
    <w:p w14:paraId="39855D3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根据医院的实际需求，危急值的接报地点可以在医生站，也可以在护士站，或者医生站和护士站同时接报，还可以护士站接报完医生站在接报。</w:t>
      </w:r>
    </w:p>
    <w:p w14:paraId="4C5619C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医生或护士在工作站电脑接收到危急值信息，需要输入工号信息进行确认，医生还 可以通过短信对危急值进行接报。护士站接收的危急值信息为所属病区病人信息，医生站接收的危急值信息为所属科室病人信息。</w:t>
      </w:r>
    </w:p>
    <w:p w14:paraId="1E2747A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 危急值确认接报</w:t>
      </w:r>
    </w:p>
    <w:p w14:paraId="63F578A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临床医生或护士对危急值进行接报后返回检验科，检验科工作人员可以看到临床接报危急值的人员以及接报时间，接报后屏幕上该条危急值信息消失。</w:t>
      </w:r>
    </w:p>
    <w:p w14:paraId="5B22C9C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 危急值未接报报警</w:t>
      </w:r>
    </w:p>
    <w:p w14:paraId="60A4B89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临床超过接报响应时间还未进行接报，检验科的LIS系统报警提示，屏幕上的危急值信息也会闪烁进行提示。检验科工作人员需要电话报告并手工登记信息。</w:t>
      </w:r>
    </w:p>
    <w:p w14:paraId="2A49F05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 危急值统计</w:t>
      </w:r>
    </w:p>
    <w:p w14:paraId="7195122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可以设置各种条件进行危急值统计。</w:t>
      </w:r>
    </w:p>
    <w:p w14:paraId="7EE5CA30">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bookmarkStart w:id="22" w:name="_Toc113915166"/>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1.20</w:t>
      </w:r>
      <w:r>
        <w:rPr>
          <w:rFonts w:hint="eastAsia" w:ascii="宋体" w:hAnsi="宋体" w:eastAsia="宋体" w:cs="宋体"/>
          <w:color w:val="000000" w:themeColor="text1"/>
          <w:sz w:val="24"/>
          <w:szCs w:val="24"/>
          <w14:textFill>
            <w14:solidFill>
              <w14:schemeClr w14:val="tx1"/>
            </w14:solidFill>
          </w14:textFill>
        </w:rPr>
        <w:t>医学影像系统（PACS）</w:t>
      </w:r>
      <w:bookmarkEnd w:id="22"/>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08A8ED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放射影像信息系统</w:t>
      </w:r>
    </w:p>
    <w:p w14:paraId="6E96D49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1.支持自动接收门诊或住院病人的检查申请，支持预约检查时间</w:t>
      </w:r>
    </w:p>
    <w:p w14:paraId="2B66F38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2.支持选择检查部位、检查方法</w:t>
      </w:r>
    </w:p>
    <w:p w14:paraId="27989AD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3.支持自动引用病历摘要和临床诊断</w:t>
      </w:r>
    </w:p>
    <w:p w14:paraId="247A0BE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4.支持自动语音叫号功能，对患者进行排号，保证检查次序</w:t>
      </w:r>
    </w:p>
    <w:p w14:paraId="792804F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5.支持连接大屏幕（LED屏）与语音设备，对即将就诊病人进行语音提示与屏幕显示</w:t>
      </w:r>
    </w:p>
    <w:p w14:paraId="0F538CB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6.支持查看患者电子病历和医嘱</w:t>
      </w:r>
    </w:p>
    <w:p w14:paraId="134919A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7.支持历史检查记录查看和对比</w:t>
      </w:r>
    </w:p>
    <w:p w14:paraId="766ABE3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8.支持放射科室影像诊断报告的书写、审阅和打印，支持影像图像发送到报告内进行显示。</w:t>
      </w:r>
    </w:p>
    <w:p w14:paraId="7811136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9.支持结构化图文混排报告，支持个人和公共模板管理</w:t>
      </w:r>
    </w:p>
    <w:p w14:paraId="42236B1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10.支持通过报告模板管理模块，可以定制不同格式的报告模板，采用所见所得的方式来编辑报告模板。 </w:t>
      </w:r>
    </w:p>
    <w:p w14:paraId="63D0C64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11.强大的自定义报表工具，可针对各科室不同的检查分别设置不同的图文报告格式以满足不同的业务和应用需求。</w:t>
      </w:r>
    </w:p>
    <w:p w14:paraId="5B54232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12.支持患者通过刷就诊卡在自助查询机上查询报告状态，支持患者自助报告打印，提高了效率</w:t>
      </w:r>
    </w:p>
    <w:p w14:paraId="45D49AC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13.支持打开既往检查图像，进行对比诊断 </w:t>
      </w:r>
    </w:p>
    <w:p w14:paraId="0843A74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14.支持查看历史检查申请单</w:t>
      </w:r>
    </w:p>
    <w:p w14:paraId="2676265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15.支持查询并匹配患者，并追加历史资料，避免同一患者的资料被分开管理</w:t>
      </w:r>
    </w:p>
    <w:p w14:paraId="1DA9AAA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16.支持数据查询与统计报表，可进行病人人数、工作量等的统计，并能通过自定义报表工具设计各类数据的查询。</w:t>
      </w:r>
    </w:p>
    <w:p w14:paraId="11039FDC">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临床影像浏览工作站</w:t>
      </w:r>
    </w:p>
    <w:p w14:paraId="5318655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1.支持根据不同的图像类型可以定义不同的工具栏、菜单、热键等界面属性</w:t>
      </w:r>
    </w:p>
    <w:p w14:paraId="69F4405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2.支持定义不同类型的图像默认打开时的模式、分格、窗宽窗位、缩放比例、显示顺序、序列排布等显示属性</w:t>
      </w:r>
    </w:p>
    <w:p w14:paraId="5A567C3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3.支持图像自动高级预处理，并可定义不同的处理策略，如某些图像调入时自动进行锐化等预处理</w:t>
      </w:r>
    </w:p>
    <w:p w14:paraId="42E72B0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4.支持多显示器，显示器个数仅受操作系统限制</w:t>
      </w:r>
    </w:p>
    <w:p w14:paraId="396BAE5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5.支持通过工具栏或右键快速标记关键图像</w:t>
      </w:r>
    </w:p>
    <w:p w14:paraId="730B71C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6.支持设置打印胶片图像自动标记关键图像</w:t>
      </w:r>
    </w:p>
    <w:p w14:paraId="1917DD8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7.支持设置GSPS图像自动标记关键图像</w:t>
      </w:r>
    </w:p>
    <w:p w14:paraId="4399FA1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8.支持临床浏览只浏览关键图像</w:t>
      </w:r>
    </w:p>
    <w:p w14:paraId="051BA50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9.支持DICOM MultiFrame 电影图像导出成AVI</w:t>
      </w:r>
    </w:p>
    <w:p w14:paraId="109726F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10.支持DICOM图像导出成JPG、BMP等格式文件</w:t>
      </w:r>
    </w:p>
    <w:p w14:paraId="11BE52E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11.支持自动消隐患者信息</w:t>
      </w:r>
    </w:p>
    <w:p w14:paraId="4D804AB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12.支持导出时根据配置自动调整图像质量，例如大小、灰度等</w:t>
      </w:r>
    </w:p>
    <w:p w14:paraId="4DBEB7D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13.支持设备未处理或剂量不足的图像，可进行再次均衡化处理进行增强</w:t>
      </w:r>
    </w:p>
    <w:p w14:paraId="28A0059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14.支持窗口中的组织内容自动进行调窗和双窗操作</w:t>
      </w:r>
    </w:p>
    <w:p w14:paraId="1E02E16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15.支持伽马、正曲线、反曲线、S线、自定义等非线性调窗 </w:t>
      </w:r>
    </w:p>
    <w:p w14:paraId="6F8CD4D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16.支持下肢和脊柱的长骨拼接功能</w:t>
      </w:r>
    </w:p>
    <w:p w14:paraId="08CE72C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17.支持调取CT/MR图像时候，可快速读取小矩阵初步图像，速度可达每秒数百张</w:t>
      </w:r>
    </w:p>
    <w:p w14:paraId="7316368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18.支持根据用户的操作，可以智能判断自动调取感兴趣高质量图像，纯透明处理，速度无延迟</w:t>
      </w:r>
    </w:p>
    <w:p w14:paraId="3635B02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19.支持无需手工指定位图像，自动计算并显示当前图像和该图像的相交关系</w:t>
      </w:r>
    </w:p>
    <w:p w14:paraId="44B3B87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20.支持通过点击定位线选择断层图像</w:t>
      </w:r>
    </w:p>
    <w:p w14:paraId="3DB9519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21.支持交叉定位：根据当前图像鼠标位置，自动定位各序列中所有相同体位图像；可以同时定位同一患者不同时期的序列</w:t>
      </w:r>
    </w:p>
    <w:p w14:paraId="097C51A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22.支持脊柱标记：标定脊椎后，可以自动在断层图像上显示出该图像的当前脊椎位置；可以标记颈椎、胸椎、腰椎、骶骨、全脊柱及自定义等多种方案</w:t>
      </w:r>
    </w:p>
    <w:p w14:paraId="0154F27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23.支持CT/MR的MPR操作，可以在任何方位、任意角度进行重建</w:t>
      </w:r>
    </w:p>
    <w:p w14:paraId="32E6C30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24.支持MIP、MinIP：最大和最小密度投影</w:t>
      </w:r>
    </w:p>
    <w:p w14:paraId="59D4D0C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25.支持快速进行批量层厚重建，以方便阅片及打印</w:t>
      </w:r>
    </w:p>
    <w:p w14:paraId="545AB44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26.支持自动识别正常及狭窄血管，并计算直径、面积、狭窄率等参数</w:t>
      </w:r>
    </w:p>
    <w:p w14:paraId="36C2F6B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27.支持左心参考分析。可以计算心脏容积、射血分数等参数</w:t>
      </w:r>
    </w:p>
    <w:p w14:paraId="707E912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28.支持测量结果可以保存为GSPS、打印到胶片、发送到报告等</w:t>
      </w:r>
    </w:p>
    <w:p w14:paraId="42948A5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29.支持多种减影方式：首张蒙片，前半序列蒙片，完整序列蒙片等</w:t>
      </w:r>
    </w:p>
    <w:p w14:paraId="578C3CE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30.支持步进图像拼接功能，如全下肢血管重建等</w:t>
      </w:r>
    </w:p>
    <w:p w14:paraId="3A08D86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31.支持将电影拆解成单帧图像，并进行关键图像标记</w:t>
      </w:r>
    </w:p>
    <w:p w14:paraId="0062147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32.支持将大型电影拆解成短电影，以便科研和教学</w:t>
      </w:r>
    </w:p>
    <w:p w14:paraId="4DB83CE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33.支持MultiFrame电影播放，同时可以播放多个序列，播放速度可达60FPS</w:t>
      </w:r>
    </w:p>
    <w:p w14:paraId="30042BD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34.支持灵活自定义的悬挂协议，并可用快捷键在协议间切换</w:t>
      </w:r>
    </w:p>
    <w:p w14:paraId="2B122CB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35.支持悬挂协议与阅片工作流完美结合，一键实现工作流所有步骤</w:t>
      </w:r>
    </w:p>
    <w:p w14:paraId="734989D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36.支持定义多种阅片工作流，以满足不同诊断要求</w:t>
      </w:r>
    </w:p>
    <w:p w14:paraId="673A13D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37.支持同一患者不同时期检查图像方便对比，并可与悬挂协议和工作流结合</w:t>
      </w:r>
    </w:p>
    <w:p w14:paraId="3A18CA7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38.支持同步放大显示功能专门用于对图像图像的浏览，可在双侧进行同比例放大和对称移动</w:t>
      </w:r>
    </w:p>
    <w:p w14:paraId="641B43F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39.支持钙化点寻找功能可自动发现单点钙化，避免显示器的分辨率影响到诊断</w:t>
      </w:r>
    </w:p>
    <w:p w14:paraId="050C332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40.支持临床影像浏览工作站，临床影像浏览支持分屏显示，支持WEB观片方式，支持图像保存、支持图像加速、支持窗体设置、可以做到和影像医技工作站观片相同的功能，兼容三维产品。</w:t>
      </w:r>
    </w:p>
    <w:p w14:paraId="40141F4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超声信息系统</w:t>
      </w:r>
    </w:p>
    <w:p w14:paraId="5F0025F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1.支持直接获取CIS系统发送的病人基本信息与检查申请项目信息</w:t>
      </w:r>
    </w:p>
    <w:p w14:paraId="23BDE37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2.支持手工登记功能，使医院能更好的应对各种不同的诊疗情况</w:t>
      </w:r>
    </w:p>
    <w:p w14:paraId="46CBA7B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3.支持DICOM标准超声设备或内镜设备影像实时采集</w:t>
      </w:r>
    </w:p>
    <w:p w14:paraId="0DEEEC4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4.支持与影像采集工作站同步动态显示图像</w:t>
      </w:r>
    </w:p>
    <w:p w14:paraId="21EA575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5.支持采集一幅或多幅图片做为诊断参考的图像，并作为诊断参考图像</w:t>
      </w:r>
    </w:p>
    <w:p w14:paraId="3625D41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6.支持采集后自动保存到PACS系统中，方便门诊/住院医生直接调阅</w:t>
      </w:r>
    </w:p>
    <w:p w14:paraId="6446394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7.支持多种图像旋转方式、窗宽窗位调整、图像缩放、图像移动、图像锐化、图像平滑等图像处理功能</w:t>
      </w:r>
    </w:p>
    <w:p w14:paraId="750FC76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8.支持多种图像与文字标记方式，让您轻松标记病变部位；图像标注和测量可以任意移动删除，使您的操作更显随意</w:t>
      </w:r>
    </w:p>
    <w:p w14:paraId="7961DB9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9.支持矢冠状重建、三位鼠标、数字减影、伪彩等处理</w:t>
      </w:r>
    </w:p>
    <w:p w14:paraId="3A31FE9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10.支持模板形式直接使用丰富的典型病例描述</w:t>
      </w:r>
    </w:p>
    <w:p w14:paraId="2B01568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11.支持报告中灵活的图片排版、编辑、标注功能</w:t>
      </w:r>
    </w:p>
    <w:p w14:paraId="6D623BA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12.支持复诊病人的病历对比引用</w:t>
      </w:r>
    </w:p>
    <w:p w14:paraId="6C9887F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13.支持用Word方式编辑报告，用户可以轻松掌握</w:t>
      </w:r>
    </w:p>
    <w:p w14:paraId="32A4A4B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14.支持打印的图像数量以及报告页次没有限制</w:t>
      </w:r>
    </w:p>
    <w:p w14:paraId="714EAFF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15.支持诊断报告保存成word文档</w:t>
      </w:r>
    </w:p>
    <w:p w14:paraId="72C1106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16.支持修改前与修改后两种模式报告预览和打印</w:t>
      </w:r>
    </w:p>
    <w:p w14:paraId="73A068A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17.支持多种类的各种查询报表，能满足医生及各层管理者的需要</w:t>
      </w:r>
    </w:p>
    <w:p w14:paraId="6BDB07D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18.支持医生随时查看当天检查工作量及相关信息；院领导查看的经济、业务类报表；医务科等科室查看的病人病理分类</w:t>
      </w:r>
    </w:p>
    <w:p w14:paraId="4CC96A3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19.支持自定义报表系统，能让院方根据管理、业务需要自己随时增加各种报表</w:t>
      </w:r>
    </w:p>
    <w:p w14:paraId="65FDDF4E">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内镜信息系统</w:t>
      </w:r>
    </w:p>
    <w:p w14:paraId="576CAD2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1.支持直接获取临床系统发送的病人基本信息与检查申请项目信息</w:t>
      </w:r>
    </w:p>
    <w:p w14:paraId="7F3C31C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2.支持手工登记功能，使医院能更好的应对各种不同的诊疗情况</w:t>
      </w:r>
    </w:p>
    <w:p w14:paraId="434F3D8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3.支持DICOM标准超声设备或内镜设备影像实时采集</w:t>
      </w:r>
    </w:p>
    <w:p w14:paraId="51F7EC0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4.支持与影像采集工作站同步动态显示图像</w:t>
      </w:r>
    </w:p>
    <w:p w14:paraId="2F27E60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5.支持采集一幅或多幅图片做为诊断参考的图像，并作为诊断参考图像</w:t>
      </w:r>
    </w:p>
    <w:p w14:paraId="28AF4CB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6.支持采集后自动保存到PACS系统中，方便门诊/住院医生直接调阅</w:t>
      </w:r>
    </w:p>
    <w:p w14:paraId="681EE39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7.支持多种图像旋转方式、窗宽窗位调整、图像缩放、图像移动、图像锐化、图像平滑等图像处理功能</w:t>
      </w:r>
    </w:p>
    <w:p w14:paraId="040E134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8.支持多种图像与文字标记方式，让您轻松标记病变部位；图像标注和测量可以任意移动删除，使您的操作更显随意</w:t>
      </w:r>
    </w:p>
    <w:p w14:paraId="2B05D16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9.支持矢冠状重建、三位鼠标、数字减影、伪彩等处理</w:t>
      </w:r>
    </w:p>
    <w:p w14:paraId="193F0AA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10.支持模板形式直接使用丰富的典型病例描述</w:t>
      </w:r>
    </w:p>
    <w:p w14:paraId="22885EE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11.支持报告中灵活的图片排版、编辑、标注功能</w:t>
      </w:r>
    </w:p>
    <w:p w14:paraId="64AE245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12.支持复诊病人的病历对比引用</w:t>
      </w:r>
    </w:p>
    <w:p w14:paraId="07B484E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13.支持用Word方式编辑报告，用户可以轻松掌握</w:t>
      </w:r>
    </w:p>
    <w:p w14:paraId="335A87D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14.支持打印的图像数量以及报告页次没有限制</w:t>
      </w:r>
    </w:p>
    <w:p w14:paraId="33198C8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15.支持诊断报告保存成word文档</w:t>
      </w:r>
    </w:p>
    <w:p w14:paraId="76321AC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16.支持修改前与修改后两种模式报告预览和打印</w:t>
      </w:r>
    </w:p>
    <w:p w14:paraId="7B3ADD9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17.支持多种类的各种查询报表，能满足医生及各层管理者的需要</w:t>
      </w:r>
    </w:p>
    <w:p w14:paraId="1C5325C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18.支持医生随时查看当天检查工作量及相关信息；院领导查看的经济、业务类报表；医务科等科室查看的病人病理分类</w:t>
      </w:r>
    </w:p>
    <w:p w14:paraId="3CDBE60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19.支持自定义报表系统，能让院方根据管理、业务需要自己随时增加各种报表</w:t>
      </w:r>
    </w:p>
    <w:p w14:paraId="5B148BFC">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bookmarkStart w:id="23" w:name="_Toc113915174"/>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1.21</w:t>
      </w:r>
      <w:r>
        <w:rPr>
          <w:rFonts w:hint="eastAsia" w:ascii="宋体" w:hAnsi="宋体" w:eastAsia="宋体" w:cs="宋体"/>
          <w:color w:val="000000" w:themeColor="text1"/>
          <w:sz w:val="24"/>
          <w:szCs w:val="24"/>
          <w14:textFill>
            <w14:solidFill>
              <w14:schemeClr w14:val="tx1"/>
            </w14:solidFill>
          </w14:textFill>
        </w:rPr>
        <w:t>医院感染实时监测系统</w:t>
      </w:r>
      <w:bookmarkEnd w:id="23"/>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3E4B1C8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1数据对接</w:t>
      </w:r>
    </w:p>
    <w:p w14:paraId="6292936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能对接HIS、LIS、RIS，电子病历、手术麻醉等数据，如：患者基本情况、转科、诊断、床位、体温、菌培养、常规检查、手术、抗菌药物等病人所有电子病例详细。</w:t>
      </w:r>
    </w:p>
    <w:p w14:paraId="2C2CC163">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 系统自动预警</w:t>
      </w:r>
    </w:p>
    <w:p w14:paraId="4C03C1F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（1）要能自动预警感染爆发；</w:t>
      </w:r>
    </w:p>
    <w:p w14:paraId="4733FF43">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（2）要能自动预警新的院感，传染病，食源性疾病，肿瘤，死亡等报卡；</w:t>
      </w:r>
    </w:p>
    <w:p w14:paraId="30D4767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（3）要能智能预警在院疑似院感病例；</w:t>
      </w:r>
    </w:p>
    <w:p w14:paraId="61D1BE3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（4）要能自动预警新的多重耐药菌,泛耐药菌,MRSA等。</w:t>
      </w:r>
    </w:p>
    <w:p w14:paraId="467B686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3院感暴发预警</w:t>
      </w:r>
    </w:p>
    <w:p w14:paraId="075FF24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（1）要能动态监测全院各科室的感染部位和检出病原体,当出现了在设定时间内超出设定值的病例时，系统就会自动预警并显示出这些病例，让院感科人员及时发现并查询感染暴发的详细情况。</w:t>
      </w:r>
    </w:p>
    <w:p w14:paraId="06DE91F8">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（2）要能自动罗列出感染暴发相关病人清单，可进行同源性分析对比，对比列出所有药敏结果，并能对暴发进行处置记录。</w:t>
      </w:r>
    </w:p>
    <w:p w14:paraId="23929A75">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4临床医生上报</w:t>
      </w:r>
    </w:p>
    <w:p w14:paraId="4A3C394B">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（1）医生工作站上要能上报院感病例，代替传统的手工纸质上报卡。</w:t>
      </w:r>
    </w:p>
    <w:p w14:paraId="036ED455">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（2）在上报卡中，临床医生只需要输入病人的住院号就可以调出该病例的基本信息及相关所需要的电子病历信息，医生只需填写感染部位和易感因素及选择相关送检,快速方便。</w:t>
      </w:r>
    </w:p>
    <w:p w14:paraId="4DD46B7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（3）系统时自动预警提示新的上报卡。</w:t>
      </w:r>
    </w:p>
    <w:p w14:paraId="692A881E">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（4）能对上报的病例进行收集和管理,可以直接查看病人的详细电子病例信息,可以修改,审核,确认,非感染等操作。</w:t>
      </w:r>
    </w:p>
    <w:p w14:paraId="1FB4DE5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（5）审核确认后的病例要能作为各种年月统计报表的数据。</w:t>
      </w:r>
    </w:p>
    <w:p w14:paraId="78C2513F">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5自动预警疑似病例</w:t>
      </w:r>
    </w:p>
    <w:p w14:paraId="51B3CD14">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（1）要可以设置疑似预警条件,可以多条件,多组合。</w:t>
      </w:r>
    </w:p>
    <w:p w14:paraId="79CF6762">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（2），提高工作效率。</w:t>
      </w:r>
    </w:p>
    <w:p w14:paraId="24BE02C1">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（3）根据预警提示，院感科人员要能直接查看详细电子病历,</w:t>
      </w:r>
      <w:r>
        <w:rPr>
          <w:rFonts w:hint="eastAsia" w:ascii="宋体" w:hAnsi="宋体" w:eastAsia="宋体" w:cs="宋体"/>
          <w:color w:val="000000" w:themeColor="text1"/>
          <w:sz w:val="24"/>
          <w:szCs w:val="24"/>
          <w:lang w:eastAsia="zh-CN"/>
          <w14:textFill>
            <w14:solidFill>
              <w14:schemeClr w14:val="tx1"/>
            </w14:solidFill>
          </w14:textFill>
        </w:rPr>
        <w:t>病</w:t>
      </w:r>
      <w:r>
        <w:rPr>
          <w:rFonts w:hint="eastAsia" w:ascii="宋体" w:hAnsi="宋体" w:eastAsia="宋体" w:cs="宋体"/>
          <w:color w:val="000000" w:themeColor="text1"/>
          <w:sz w:val="24"/>
          <w:szCs w:val="24"/>
          <w14:textFill>
            <w14:solidFill>
              <w14:schemeClr w14:val="tx1"/>
            </w14:solidFill>
          </w14:textFill>
        </w:rPr>
        <w:t>例进行重点排查，进行补报，防止漏报。</w:t>
      </w:r>
    </w:p>
    <w:p w14:paraId="287C6C2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（4）所有疑似病例要按院感关健点,住院时间,组合排列成院感时序图,方便查看疑似病人的相关重点情况。</w:t>
      </w:r>
    </w:p>
    <w:p w14:paraId="484EA774">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（5）要能就疑似病例直接与医生消息沟通，反馈，医生端要有提示，方便快速处理报卡等。</w:t>
      </w:r>
    </w:p>
    <w:p w14:paraId="0C7AF452">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6详细电子病例信息</w:t>
      </w:r>
    </w:p>
    <w:p w14:paraId="63FBA5D5">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系统中要有地方可以直接查询病人的医嘱，检验结果，</w:t>
      </w:r>
      <w:r>
        <w:rPr>
          <w:rFonts w:hint="eastAsia" w:ascii="宋体" w:hAnsi="宋体" w:eastAsia="宋体" w:cs="宋体"/>
          <w:color w:val="000000" w:themeColor="text1"/>
          <w:sz w:val="24"/>
          <w:szCs w:val="24"/>
          <w:lang w:eastAsia="zh-CN"/>
          <w14:textFill>
            <w14:solidFill>
              <w14:schemeClr w14:val="tx1"/>
            </w14:solidFill>
          </w14:textFill>
        </w:rPr>
        <w:t>相关检查结果、</w:t>
      </w:r>
      <w:r>
        <w:rPr>
          <w:rFonts w:hint="eastAsia" w:ascii="宋体" w:hAnsi="宋体" w:eastAsia="宋体" w:cs="宋体"/>
          <w:color w:val="000000" w:themeColor="text1"/>
          <w:sz w:val="24"/>
          <w:szCs w:val="24"/>
          <w14:textFill>
            <w14:solidFill>
              <w14:schemeClr w14:val="tx1"/>
            </w14:solidFill>
          </w14:textFill>
        </w:rPr>
        <w:t>手术情况，病程记录等电子病历详细信息，要避免了去打开多个系统繁锁查询,院感关键点或异常处要有标识。</w:t>
      </w:r>
    </w:p>
    <w:p w14:paraId="4815D77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7抗菌药物监测</w:t>
      </w:r>
    </w:p>
    <w:p w14:paraId="08F89A9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（1）要能自动收集全院病人的抗菌药物使用情况,自动统计抗菌药物联合用药情况</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并能直接查看所有联合使用病人的信息包括医嘱、检验检查、病程记录、体温。</w:t>
      </w:r>
    </w:p>
    <w:p w14:paraId="444F9E4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（2）要能抗菌药物分线管理,根据抗菌药物分线使用及分级管理办法，自动统计出越权用药的详细情况。</w:t>
      </w:r>
    </w:p>
    <w:p w14:paraId="3D78A4B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（3）要能对抗菌药物使用率及联合用药统计。</w:t>
      </w:r>
    </w:p>
    <w:p w14:paraId="5854224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（4）抗菌药物按用药目的统计。</w:t>
      </w:r>
    </w:p>
    <w:p w14:paraId="2EB2D14F">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（5）抗菌药物使用的送检率及阳性率统计。</w:t>
      </w:r>
    </w:p>
    <w:p w14:paraId="54C805B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6</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联合使用重点抗菌药物的送检统计 ，</w:t>
      </w:r>
      <w:r>
        <w:rPr>
          <w:rFonts w:hint="eastAsia" w:ascii="宋体" w:hAnsi="宋体" w:eastAsia="宋体" w:cs="宋体"/>
          <w:color w:val="000000" w:themeColor="text1"/>
          <w:sz w:val="24"/>
          <w:szCs w:val="24"/>
          <w:lang w:val="en-US" w:eastAsia="zh-CN"/>
          <w14:textFill>
            <w14:solidFill>
              <w14:schemeClr w14:val="tx1"/>
            </w14:solidFill>
          </w14:textFill>
        </w:rPr>
        <w:t xml:space="preserve">并能直接查看联合使用重点抗菌药物患者的所有信息。 </w:t>
      </w:r>
    </w:p>
    <w:p w14:paraId="105D666C">
      <w:pPr>
        <w:pageBreakBefore w:val="0"/>
        <w:kinsoku/>
        <w:wordWrap/>
        <w:overflowPunct/>
        <w:topLinePunct w:val="0"/>
        <w:autoSpaceDE/>
        <w:autoSpaceDN/>
        <w:bidi w:val="0"/>
        <w:adjustRightInd w:val="0"/>
        <w:snapToGrid w:val="0"/>
        <w:ind w:left="0" w:firstLine="787" w:firstLineChars="328"/>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(7)对治疗用抗菌药物使用前设置预警送检。</w:t>
      </w:r>
    </w:p>
    <w:p w14:paraId="1D14984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8病原体监测</w:t>
      </w:r>
    </w:p>
    <w:p w14:paraId="3A2351D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（1）要能自动从LIS系统收集全院病人的微生物检验结果,自动分析</w:t>
      </w:r>
      <w:r>
        <w:rPr>
          <w:rFonts w:hint="eastAsia" w:ascii="宋体" w:hAnsi="宋体" w:eastAsia="宋体" w:cs="宋体"/>
          <w:color w:val="000000" w:themeColor="text1"/>
          <w:sz w:val="24"/>
          <w:szCs w:val="24"/>
          <w:lang w:eastAsia="zh-CN"/>
          <w14:textFill>
            <w14:solidFill>
              <w14:schemeClr w14:val="tx1"/>
            </w14:solidFill>
          </w14:textFill>
        </w:rPr>
        <w:t>，并有统计</w:t>
      </w:r>
      <w:r>
        <w:rPr>
          <w:rFonts w:hint="eastAsia" w:ascii="宋体" w:hAnsi="宋体" w:eastAsia="宋体" w:cs="宋体"/>
          <w:color w:val="000000" w:themeColor="text1"/>
          <w:sz w:val="24"/>
          <w:szCs w:val="24"/>
          <w14:textFill>
            <w14:solidFill>
              <w14:schemeClr w14:val="tx1"/>
            </w14:solidFill>
          </w14:textFill>
        </w:rPr>
        <w:t>。</w:t>
      </w:r>
    </w:p>
    <w:p w14:paraId="78082BE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（2）要可以查询统计各种特殊耐药病例,如MRSA,万古耐金葡，多重耐药,泛耐药,超广谱等病例。</w:t>
      </w:r>
    </w:p>
    <w:p w14:paraId="6C88311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（3）并对多重耐药,泛耐药, MRSA,万古耐金葡等自动预警提示。</w:t>
      </w:r>
    </w:p>
    <w:p w14:paraId="3FD08EAF">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（4）要能统计出全院所有的病原菌耐药率情况，并将耐药率以不同颜色进行区别，并详细到可以支持针对某种菌，某个科室进行统计。</w:t>
      </w:r>
    </w:p>
    <w:p w14:paraId="3EFE9A21">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（5）要有科室的病原体分布统计,科室的标本统计,全院的送检率及阳性率统计等报表。　</w:t>
      </w:r>
    </w:p>
    <w:p w14:paraId="486BB39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9多耐监测</w:t>
      </w:r>
    </w:p>
    <w:p w14:paraId="66D47167">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（1）要有多耐预警流程，并可以直接发消息提示医生。</w:t>
      </w:r>
    </w:p>
    <w:p w14:paraId="7F0F714D">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（2）在医生端有提示，医生可直接进行上报和处理措施。能直接上报多耐督查表。</w:t>
      </w:r>
    </w:p>
    <w:p w14:paraId="0E7AA4F7">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（3）并在管理端有新督查表提示，还要能收集管理及相关统计。</w:t>
      </w:r>
    </w:p>
    <w:p w14:paraId="1217534D">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10外科手术监测</w:t>
      </w:r>
    </w:p>
    <w:p w14:paraId="23E373F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（1）要能自动收集全院所有的外科手术病例及相关麻醉,</w:t>
      </w:r>
      <w:r>
        <w:rPr>
          <w:rFonts w:hint="eastAsia" w:ascii="宋体" w:hAnsi="宋体" w:eastAsia="宋体" w:cs="宋体"/>
          <w:color w:val="000000" w:themeColor="text1"/>
          <w:sz w:val="24"/>
          <w:szCs w:val="24"/>
          <w:lang w:eastAsia="zh-CN"/>
          <w14:textFill>
            <w14:solidFill>
              <w14:schemeClr w14:val="tx1"/>
            </w14:solidFill>
          </w14:textFill>
        </w:rPr>
        <w:t>手术时间、</w:t>
      </w:r>
      <w:r>
        <w:rPr>
          <w:rFonts w:hint="eastAsia" w:ascii="宋体" w:hAnsi="宋体" w:eastAsia="宋体" w:cs="宋体"/>
          <w:color w:val="000000" w:themeColor="text1"/>
          <w:sz w:val="24"/>
          <w:szCs w:val="24"/>
          <w14:textFill>
            <w14:solidFill>
              <w14:schemeClr w14:val="tx1"/>
            </w14:solidFill>
          </w14:textFill>
        </w:rPr>
        <w:t>切口,愈合等情况。</w:t>
      </w:r>
    </w:p>
    <w:p w14:paraId="67E466AD">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（2）要能自动生成按切口统计感染率,无菌切口愈合情况及感染率统计，医生专率，用药等。</w:t>
      </w:r>
    </w:p>
    <w:p w14:paraId="4043F18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（3）要有按风险指数统计的报表。</w:t>
      </w:r>
    </w:p>
    <w:p w14:paraId="7C1113B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4</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一类手术切口预防使用率、预防使用抗菌药物停药具体时间统计。</w:t>
      </w:r>
    </w:p>
    <w:p w14:paraId="60DF80DE">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（5）一类手术切口要能按病人数进行统计，结果要与病案系统数据相符</w:t>
      </w:r>
      <w:r>
        <w:rPr>
          <w:rFonts w:hint="eastAsia" w:ascii="宋体" w:hAnsi="宋体" w:eastAsia="宋体" w:cs="宋体"/>
          <w:color w:val="000000" w:themeColor="text1"/>
          <w:sz w:val="24"/>
          <w:szCs w:val="24"/>
          <w:lang w:val="en-US" w:eastAsia="zh-CN"/>
          <w14:textFill>
            <w14:solidFill>
              <w14:schemeClr w14:val="tx1"/>
            </w14:solidFill>
          </w14:textFill>
        </w:rPr>
        <w:t>。</w:t>
      </w:r>
    </w:p>
    <w:p w14:paraId="0995E3D3">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11重症室监测</w:t>
      </w:r>
    </w:p>
    <w:p w14:paraId="5651BAF7">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（1）要有对ICU进行的院感病例和日志进行监测,并进行三个导管感染率的统计。</w:t>
      </w:r>
    </w:p>
    <w:p w14:paraId="187E811B">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（2）要能对新生儿ICU进行的院感病例和日志进行监测,并进行三个导管感染率的统计。</w:t>
      </w:r>
    </w:p>
    <w:p w14:paraId="482BA773">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12环境卫生学监测</w:t>
      </w:r>
    </w:p>
    <w:p w14:paraId="4DC3BAE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（1）要能收集和录入消毒卫生学的检测结果,进行相关统计。</w:t>
      </w:r>
    </w:p>
    <w:p w14:paraId="68E6C8E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（2）要能克隆以前月份已输入过的数据，快速复制过来，以减少输入工作量。</w:t>
      </w:r>
    </w:p>
    <w:p w14:paraId="78B5FF3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13职业暴露监测</w:t>
      </w:r>
    </w:p>
    <w:p w14:paraId="790D9F4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要能在医生站或护士站直接填写医务人员的针刺伤情况和相关处理结果,可提示处理措施和评估方法，并进行相关的统计。</w:t>
      </w:r>
    </w:p>
    <w:p w14:paraId="1AA431A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14现患率调查</w:t>
      </w:r>
    </w:p>
    <w:p w14:paraId="28117277">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要能自动收集全院所有在院病人的病例及相关感染，使用抗生素，相关送检等情况，自动提取任意时间点的调查所需的相关数据，并自动统计出各科室现患率及部位分布等相关报表。</w:t>
      </w:r>
    </w:p>
    <w:p w14:paraId="40610BCF">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15医生消息沟通</w:t>
      </w:r>
    </w:p>
    <w:p w14:paraId="660ED019">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（1）消息要能在医生工作站提示。可以接收院感科发送的漏报提示（院感，传染病，肿瘤等报卡），干预及指导措施，SOP等。</w:t>
      </w:r>
    </w:p>
    <w:p w14:paraId="61524F5C">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（2）要能提示到全科，要能已读，医生还要可以反馈信息，可直接双击上报各种报卡等。</w:t>
      </w:r>
    </w:p>
    <w:p w14:paraId="2DBB5510">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（3）要能自定义设置给医生端查看相关统计报表的权限，可以控制到看全院或只能看本科室数据。</w:t>
      </w:r>
    </w:p>
    <w:p w14:paraId="06BB1C16">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（4）要能从消息端给医生发送相关的培训文件及资料。</w:t>
      </w:r>
    </w:p>
    <w:p w14:paraId="12845218">
      <w:pPr>
        <w:pageBreakBefore w:val="0"/>
        <w:kinsoku/>
        <w:wordWrap/>
        <w:overflowPunct/>
        <w:topLinePunct w:val="0"/>
        <w:autoSpaceDE/>
        <w:autoSpaceDN/>
        <w:bidi w:val="0"/>
        <w:adjustRightInd w:val="0"/>
        <w:snapToGrid w:val="0"/>
        <w:ind w:left="0" w:firstLine="48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16、抓取及统计的所有数据要与</w:t>
      </w:r>
      <w:r>
        <w:rPr>
          <w:rFonts w:hint="eastAsia" w:ascii="宋体" w:hAnsi="宋体" w:eastAsia="宋体" w:cs="宋体"/>
          <w:color w:val="000000" w:themeColor="text1"/>
          <w:sz w:val="24"/>
          <w:szCs w:val="24"/>
          <w14:textFill>
            <w14:solidFill>
              <w14:schemeClr w14:val="tx1"/>
            </w14:solidFill>
          </w14:textFill>
        </w:rPr>
        <w:t>LIS</w:t>
      </w:r>
      <w:r>
        <w:rPr>
          <w:rFonts w:hint="eastAsia" w:ascii="宋体" w:hAnsi="宋体" w:eastAsia="宋体" w:cs="宋体"/>
          <w:color w:val="000000" w:themeColor="text1"/>
          <w:sz w:val="24"/>
          <w:szCs w:val="24"/>
          <w:lang w:eastAsia="zh-CN"/>
          <w14:textFill>
            <w14:solidFill>
              <w14:schemeClr w14:val="tx1"/>
            </w14:solidFill>
          </w14:textFill>
        </w:rPr>
        <w:t>、病案一致；并能根据国家的规范、标准改变进行更改、更新。</w:t>
      </w:r>
    </w:p>
    <w:p w14:paraId="5331203A">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bookmarkStart w:id="24" w:name="_Toc113915159"/>
      <w:bookmarkStart w:id="25" w:name="_Toc113915178"/>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1.22</w:t>
      </w:r>
      <w:r>
        <w:rPr>
          <w:rFonts w:hint="eastAsia" w:ascii="宋体" w:hAnsi="宋体" w:eastAsia="宋体" w:cs="宋体"/>
          <w:color w:val="000000" w:themeColor="text1"/>
          <w:sz w:val="24"/>
          <w:szCs w:val="24"/>
          <w14:textFill>
            <w14:solidFill>
              <w14:schemeClr w14:val="tx1"/>
            </w14:solidFill>
          </w14:textFill>
        </w:rPr>
        <w:t>合理用药系统</w:t>
      </w:r>
      <w:bookmarkEnd w:id="24"/>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1EAE3FA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总体技术要求</w:t>
      </w:r>
    </w:p>
    <w:p w14:paraId="1DCD3A7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支持与HIS系统一体化应用但又能独立升级。</w:t>
      </w:r>
    </w:p>
    <w:p w14:paraId="6549D68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支持与HIS系统建立熔断机制以保障意外情况下临床业务不受影响。</w:t>
      </w:r>
    </w:p>
    <w:p w14:paraId="5CB7E25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支持药品目录按国家食品药品管理局发布的本位码进行管理。</w:t>
      </w:r>
    </w:p>
    <w:p w14:paraId="15721F2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支持服务器缓存技术以规避软件长期使用后可能会出现的卡顿问题。</w:t>
      </w:r>
    </w:p>
    <w:p w14:paraId="56212FC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药品本位码、通用名、规格、剂型、生产企业、批准文号等信息需与“国家食品药品监督管理局（国产药品信息和进口药品信息）”一致。</w:t>
      </w:r>
    </w:p>
    <w:p w14:paraId="523373C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药品说明书需明确对应到厂商。</w:t>
      </w:r>
    </w:p>
    <w:p w14:paraId="1AEDB53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抗菌药物分级标准需与《抗菌药物临床应用分级管理目录》（2015版）一致。</w:t>
      </w:r>
    </w:p>
    <w:p w14:paraId="2C4DFEF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抗菌药物DDD值须与“全国抗菌药物临床应用监测网”一致。</w:t>
      </w:r>
    </w:p>
    <w:p w14:paraId="473AE02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毒麻药品目录需与《麻醉药品和精神药品品种目录》（食药监药化监[2013]230号）一致。</w:t>
      </w:r>
    </w:p>
    <w:p w14:paraId="38B55E1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满足《电子病历评级标准》、《医院信息互联互通标准化成熟度测评指标体系》、《处方管理办法》、《医疗机构处方审核规范》、《医院处方点评管理规范》等政策要求。</w:t>
      </w:r>
    </w:p>
    <w:p w14:paraId="20E7FEE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支持权限管理，药师可对现有系统所有功能模块及使用系统的药师角色进行快速的权限对应，实现药剂科室更高效的人员管理，有助于工作效率的提升</w:t>
      </w:r>
    </w:p>
    <w:p w14:paraId="7F2B06F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支持规则自定义，所有药品规则包括禁忌症、适应症、相互作用、注射剂配伍、重复用药等均需支持用户自定义。</w:t>
      </w:r>
    </w:p>
    <w:p w14:paraId="30B6EECC">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合理用药监测系统</w:t>
      </w:r>
    </w:p>
    <w:p w14:paraId="74F3E37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要点提示：</w:t>
      </w:r>
    </w:p>
    <w:p w14:paraId="4B69765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支持处方下达过程中，对医生进行用药要点提示的功能。</w:t>
      </w:r>
    </w:p>
    <w:p w14:paraId="27EEA1A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支持药品高危等级、药品属性（毒麻精）、抗菌药物使用分级等项目的要点提示。</w:t>
      </w:r>
    </w:p>
    <w:p w14:paraId="08BB812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支持国家医保目录的药品相关信息的要点提示</w:t>
      </w:r>
    </w:p>
    <w:p w14:paraId="1C56324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支持药品和食品的相互作用要点提示</w:t>
      </w:r>
    </w:p>
    <w:p w14:paraId="31D2718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用药监测：</w:t>
      </w:r>
    </w:p>
    <w:p w14:paraId="71593AC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支持禁止、禁用、慎用、注意等多级监测审核标准。</w:t>
      </w:r>
    </w:p>
    <w:p w14:paraId="0731BB9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支持用户自行调整设置禁用药品的流程，具备“允许禁用药品通过”；“允许禁用药品通过但医生必须写理由”；“不允许禁用药品通过”等三种应用模式</w:t>
      </w:r>
    </w:p>
    <w:p w14:paraId="19F75AA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支持对超适应症用药（自定义规则）进行自动监测</w:t>
      </w:r>
    </w:p>
    <w:p w14:paraId="415E036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支持对禁忌症用药（自定义规则）进行自动监测</w:t>
      </w:r>
    </w:p>
    <w:p w14:paraId="4EB6340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支持对给药途径不适宜自动监测</w:t>
      </w:r>
    </w:p>
    <w:p w14:paraId="3EF5E82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支持超过最大剂量自动监测</w:t>
      </w:r>
    </w:p>
    <w:p w14:paraId="7AD8C9B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支持低于最小剂量自动监测</w:t>
      </w:r>
    </w:p>
    <w:p w14:paraId="69BF09E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支持不符常规剂量自动监测</w:t>
      </w:r>
    </w:p>
    <w:p w14:paraId="60EBEB8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支持超多日（疗程）用量自动监测</w:t>
      </w:r>
    </w:p>
    <w:p w14:paraId="55B6DF7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支持超最大用药天数自动监测</w:t>
      </w:r>
    </w:p>
    <w:p w14:paraId="63A716F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支持男女性别不适宜自动监测</w:t>
      </w:r>
    </w:p>
    <w:p w14:paraId="1C28F9E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支持病人来源不适宜自动监测</w:t>
      </w:r>
    </w:p>
    <w:p w14:paraId="6B086D5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支持开单医生不适宜自动监测</w:t>
      </w:r>
    </w:p>
    <w:p w14:paraId="3D57423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支持检验指标用药禁忌自动监测</w:t>
      </w:r>
    </w:p>
    <w:p w14:paraId="579477B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支持门诊输液自动监测</w:t>
      </w:r>
    </w:p>
    <w:p w14:paraId="75C1C71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支持成年人用药自动监测</w:t>
      </w:r>
    </w:p>
    <w:p w14:paraId="25FF200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支持老年人用药自动监测</w:t>
      </w:r>
    </w:p>
    <w:p w14:paraId="477DB88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支持妊娠患者用药自动监测</w:t>
      </w:r>
    </w:p>
    <w:p w14:paraId="3D1D5ED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支持哺乳患者用药自动监测</w:t>
      </w:r>
    </w:p>
    <w:p w14:paraId="2ACC871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支持运动员用药自动监测（兴奋剂提示）</w:t>
      </w:r>
    </w:p>
    <w:p w14:paraId="0366880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支持肝功能不全患者用药自动监测</w:t>
      </w:r>
    </w:p>
    <w:p w14:paraId="0F7CF06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支持肾功能不全患者用药自动监测</w:t>
      </w:r>
    </w:p>
    <w:p w14:paraId="4720397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支持严重肝功能不全患者用药自动监测</w:t>
      </w:r>
    </w:p>
    <w:p w14:paraId="3A48BEE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支持严重肾功能不全患者用药自动监测</w:t>
      </w:r>
    </w:p>
    <w:p w14:paraId="13D1754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支持药品相互作用自动监测</w:t>
      </w:r>
    </w:p>
    <w:p w14:paraId="658BC1F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支持重复用药（重复成分）自动监测</w:t>
      </w:r>
    </w:p>
    <w:p w14:paraId="3D9DC10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支持重复用药（重复治疗效果）自动监测</w:t>
      </w:r>
    </w:p>
    <w:p w14:paraId="68040E2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支持注射剂配伍禁忌自动监测</w:t>
      </w:r>
    </w:p>
    <w:p w14:paraId="7E9ECBD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支持注射剂配伍浓度自动监测</w:t>
      </w:r>
    </w:p>
    <w:p w14:paraId="2D00199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支持注射剂配伍浓度（钾离子浓度）自动监测</w:t>
      </w:r>
    </w:p>
    <w:p w14:paraId="77E22E6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支持越权用药自动监测</w:t>
      </w:r>
    </w:p>
    <w:p w14:paraId="3B1C593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支持注射剂溶媒自动监测</w:t>
      </w:r>
    </w:p>
    <w:p w14:paraId="4996E38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支持特殊人群（肝肾功能不全、妊娠、哺乳、儿童等）用药自动监测</w:t>
      </w:r>
    </w:p>
    <w:p w14:paraId="3CA472E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支持对中药饮片按照十八反十九畏等规则进行用药自动监测</w:t>
      </w:r>
    </w:p>
    <w:p w14:paraId="0BD8401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支持药师对监测审核规则（药品禁忌症、适应症、年龄禁用情况、最大单日剂量、给药途径等）自定义</w:t>
      </w:r>
    </w:p>
    <w:p w14:paraId="021E783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支持药师设置监测审核规则后增加条件，可添加多个条件，实现多维度的用药自动监测 </w:t>
      </w:r>
    </w:p>
    <w:p w14:paraId="65F7682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支持药师对注射剂配伍规则进行自定义</w:t>
      </w:r>
    </w:p>
    <w:p w14:paraId="5F631ED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支持要点提示管理，药师可自定义在院药品的要点提示内容</w:t>
      </w:r>
    </w:p>
    <w:p w14:paraId="78A244C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支持药师对药品相互作用规则进行自定义</w:t>
      </w:r>
    </w:p>
    <w:p w14:paraId="0435E5C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支持调整及批量调整相互作用规则等级</w:t>
      </w:r>
    </w:p>
    <w:p w14:paraId="22BDE36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支持药品对码管理，院内新进药品可通过对码功能对其说明书、以及相关规则进行同步刷新</w:t>
      </w:r>
    </w:p>
    <w:p w14:paraId="69C8EE6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支持中药饮片的规则自定义</w:t>
      </w:r>
    </w:p>
    <w:p w14:paraId="5C6DFFE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支持重复用药规则自定义以及自定义药品分类</w:t>
      </w:r>
    </w:p>
    <w:p w14:paraId="02FEA2F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支持给药途径属性自定义，用于相互作用规则的判断</w:t>
      </w:r>
    </w:p>
    <w:p w14:paraId="7DBE04F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提供直观的监测审核规则管理界面，零代码要求，药剂科可自行修改维护</w:t>
      </w:r>
    </w:p>
    <w:p w14:paraId="7DD0620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监测审核规则</w:t>
      </w:r>
    </w:p>
    <w:p w14:paraId="3E4D743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支持对规则进行启(停)用管理</w:t>
      </w:r>
    </w:p>
    <w:p w14:paraId="3C71564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支持统计药师自定义规则的数量</w:t>
      </w:r>
    </w:p>
    <w:p w14:paraId="6308916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支持对科室是否开启合理用药自动监测进行自定义</w:t>
      </w:r>
    </w:p>
    <w:p w14:paraId="5ABEF68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支持对用药规则进行复制，可以将当前药物的用药规则复制到其他药品上</w:t>
      </w:r>
    </w:p>
    <w:p w14:paraId="6B05932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支持药师自行设置用药预警信息（药物药占比、抗菌药物使用强度等），医生能在医生站查看预警信息，第一时间知晓全院药物使用指标情况</w:t>
      </w:r>
    </w:p>
    <w:p w14:paraId="4FEA484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报表统计：</w:t>
      </w:r>
    </w:p>
    <w:p w14:paraId="69E2DBC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支持从药品维度对合理用药系统监测结果按监测类型统计</w:t>
      </w:r>
    </w:p>
    <w:p w14:paraId="3F1625E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支持从药品维度对合理用药系统监测结果按禁忌等级统计</w:t>
      </w:r>
    </w:p>
    <w:p w14:paraId="4FB9DD9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提供合理用药系统监测问题清单</w:t>
      </w:r>
    </w:p>
    <w:p w14:paraId="2878058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提供合理用药系统监测问题按监测类型统计</w:t>
      </w:r>
    </w:p>
    <w:p w14:paraId="1F7849E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提供合理用药系统监测问题按禁忌等级统计</w:t>
      </w:r>
    </w:p>
    <w:p w14:paraId="64B72E0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提供根据科室统计合理用药系统监测结果，并能按监测类型和禁忌等级统计</w:t>
      </w:r>
    </w:p>
    <w:p w14:paraId="626DB4F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提供根据医生统计合理用药系统监测结果，并能按监测类型和禁忌等级统计</w:t>
      </w:r>
    </w:p>
    <w:p w14:paraId="25C402D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支持监测结果中对处方（医嘱）明细进行查看</w:t>
      </w:r>
    </w:p>
    <w:p w14:paraId="6BAE5BF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支持在监测结果报表中查看患者的病案信息，能一键调阅患者在院的所有诊疗信息</w:t>
      </w:r>
    </w:p>
    <w:p w14:paraId="1B0A9C0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011059BE">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药品说明书查询</w:t>
      </w:r>
    </w:p>
    <w:p w14:paraId="6B4F6D0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支持在医嘱界面一键调阅药品说明书</w:t>
      </w:r>
    </w:p>
    <w:p w14:paraId="6117207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支持药品说明书按名称、剂型、性状、适应症、禁忌症、规格、用法用量、不良反应等内容快速分段定位查看</w:t>
      </w:r>
    </w:p>
    <w:p w14:paraId="4F45D9D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支持查看中药饮片的药典内容，并能按性状、功能和主治、用法用量等内容快速分段定位查看</w:t>
      </w:r>
    </w:p>
    <w:p w14:paraId="45C2C7B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支持药品检索，快速查看其他药品说明书</w:t>
      </w:r>
    </w:p>
    <w:p w14:paraId="5C73F98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支持说明书按照药品名称、简码、编码查询</w:t>
      </w:r>
    </w:p>
    <w:p w14:paraId="68380E7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支持医生在医生站查看院外说明书</w:t>
      </w:r>
    </w:p>
    <w:p w14:paraId="499029C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支持药师在线更新药品说明书及规则</w:t>
      </w:r>
    </w:p>
    <w:p w14:paraId="3A9F676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104E7F1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实时审方系统</w:t>
      </w:r>
    </w:p>
    <w:p w14:paraId="2E6D357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产品须具备药师审方工作站界面</w:t>
      </w:r>
    </w:p>
    <w:p w14:paraId="2EA9205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支持多终端扩展，可以实现药师在手机、平板上实时审方</w:t>
      </w:r>
    </w:p>
    <w:p w14:paraId="2949E0E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支持语音提醒药师有待审核处方</w:t>
      </w:r>
    </w:p>
    <w:p w14:paraId="1246B69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支持药师对中药饮片进行实时审方</w:t>
      </w:r>
    </w:p>
    <w:p w14:paraId="3DD7BE8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支持审查过滤模板方案功能，通过设置，药师只对部分处方（医嘱）进行实时审核</w:t>
      </w:r>
    </w:p>
    <w:p w14:paraId="18B5550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支持对过滤模板方案进行适用范围设定，包括所有人员、专业组人员或个人</w:t>
      </w:r>
    </w:p>
    <w:p w14:paraId="7F8BBD6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支持对过滤模板方案进行处方范围设定，包括门诊、住院等</w:t>
      </w:r>
    </w:p>
    <w:p w14:paraId="2EEE7D7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支持对过滤模板方案进行重点关注项目设定，包括重点科室、医生级别、药品名称、剂型、抗菌药物等级、抗菌药物用药目的、毒理分类、病人病生理状态、药品禁忌等级、药品禁忌类型、药品类型等</w:t>
      </w:r>
    </w:p>
    <w:p w14:paraId="0E506F7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支持为药师分配需审方科室，以便在审查任务时实现专科专审</w:t>
      </w:r>
    </w:p>
    <w:p w14:paraId="3ECFE56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支持药师设置根据执行科室进行审方</w:t>
      </w:r>
    </w:p>
    <w:p w14:paraId="48A1098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支持设置科室是否启用药师实时审方</w:t>
      </w:r>
    </w:p>
    <w:p w14:paraId="64F7106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支持药师开始审核前选择待审对象，支持选择“门诊”“住院”“门诊和住院”实现处方的分流</w:t>
      </w:r>
    </w:p>
    <w:p w14:paraId="753C23A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支持药师按“通过”、“不通过”进行审方评定，并能通过“打回”等操作对处方进行处理</w:t>
      </w:r>
    </w:p>
    <w:p w14:paraId="1F30329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支持临床医生站实时提醒药师实时审方结果</w:t>
      </w:r>
    </w:p>
    <w:p w14:paraId="1711361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户自行设置药师实时审方的管控，具备“禁止发送审核不过药嘱”；“允许发送审核不过药嘱”；“审核不过药嘱填写原因后允许发送”等三种应用模式，并且支持对门诊和住院实行分开设置，满足医院不同院区的管理需求</w:t>
      </w:r>
    </w:p>
    <w:p w14:paraId="0A55513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支持临床医生站对被“打回”处方进行处理，若接纳则进行医嘱修改，若拒绝需填写拒绝理由</w:t>
      </w:r>
    </w:p>
    <w:p w14:paraId="0619C00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支持药师“接单”机制，使药师资源合理利用</w:t>
      </w:r>
    </w:p>
    <w:p w14:paraId="24E817C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支持药师状态在“开始审核”和“离开下线”状态切换，离线后审方任务不会再继续分配到该药师 </w:t>
      </w:r>
    </w:p>
    <w:p w14:paraId="76E5A56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支持设置处方超时自动通过时长。对超时处方进行时间设置，如果医生站在预设时间内未收到审方结果，则处方自动通过</w:t>
      </w:r>
    </w:p>
    <w:p w14:paraId="630663E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支持在医生站查看当前审方倒计时</w:t>
      </w:r>
    </w:p>
    <w:p w14:paraId="0732D9C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支持设置药师上下班时间，在非药师工作时间处方自动通过</w:t>
      </w:r>
    </w:p>
    <w:p w14:paraId="44DA5B4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支持对所有紧急医嘱的忽略审方</w:t>
      </w:r>
    </w:p>
    <w:p w14:paraId="07EB6E8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支持药师在审方界面查看对应药品的药品说明书</w:t>
      </w:r>
    </w:p>
    <w:p w14:paraId="6DFD224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药师站说明书查阅结构化显示</w:t>
      </w:r>
    </w:p>
    <w:p w14:paraId="23194F8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支持药师界面查看合理用药自动监测结果</w:t>
      </w:r>
    </w:p>
    <w:p w14:paraId="1D0C64A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支持药师审方的同时，能够一键调阅查看病人在院的所有诊疗信息，包括病历、用药清单、检验检查结果等</w:t>
      </w:r>
    </w:p>
    <w:p w14:paraId="7F7F25F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支持已审处方查看</w:t>
      </w:r>
    </w:p>
    <w:p w14:paraId="4BE1B01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支持已审处方按时间、科室、审核药师、药品等条件进行过滤查看</w:t>
      </w:r>
    </w:p>
    <w:p w14:paraId="2C2CE6A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支持熔断机制，在药师工作站服务器问题或网络等因素导致无法访问的情况下保证医生端能够正常发送医嘱</w:t>
      </w:r>
    </w:p>
    <w:p w14:paraId="51986F8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支持审方不通过理由模版自定义，减少药师审方录入不通过理由时间</w:t>
      </w:r>
    </w:p>
    <w:p w14:paraId="5FFB5AF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支持设置审方定时刷新间隔，药师站审方系统自动刷新，不用人为频繁刷新</w:t>
      </w:r>
    </w:p>
    <w:p w14:paraId="48DEB10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支持对每次审方动作进行标记，药师可调阅标记过的审方记录，方便审方完成后进行案例教育，讨论</w:t>
      </w:r>
    </w:p>
    <w:p w14:paraId="2239D22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支持药师和医生通过药师站和医生站的通讯工具进行实时交流，方便讨论用药详情和细则，实现医药互动，快速交流</w:t>
      </w:r>
    </w:p>
    <w:p w14:paraId="1F3EF02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支持审方评分管理，药师可对审方的结果进行评价打分，实现对药师审方的结果考评</w:t>
      </w:r>
    </w:p>
    <w:p w14:paraId="4C8F58B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支持待审核界面通过时间轴的方式查看同一处方（医嘱）的历史审核信息</w:t>
      </w:r>
    </w:p>
    <w:p w14:paraId="324C255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统计报表：</w:t>
      </w:r>
    </w:p>
    <w:p w14:paraId="2E40B2C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支持药师、科室审方结果、审方工作量统计及饼状图显示</w:t>
      </w:r>
    </w:p>
    <w:p w14:paraId="0316422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支持按待审处方和已审处方分类查询统计</w:t>
      </w:r>
    </w:p>
    <w:p w14:paraId="07F5645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支持按不通过理由统计用药清单</w:t>
      </w:r>
    </w:p>
    <w:p w14:paraId="6C16DC4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统计清单支持查看药师不通过理由、医生拒绝理由</w:t>
      </w:r>
    </w:p>
    <w:p w14:paraId="440CB67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支持全院处方审核不通过的统计</w:t>
      </w:r>
    </w:p>
    <w:p w14:paraId="36C0F6E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支持科室和医生处方审核不通过统计</w:t>
      </w:r>
    </w:p>
    <w:p w14:paraId="23CBF50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支持自动统计药师审方趋势，形成药师审方趋势统计图</w:t>
      </w:r>
    </w:p>
    <w:p w14:paraId="6284A8F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支持点选图形表格中的专项内容生成专项的统计报表    </w:t>
      </w:r>
    </w:p>
    <w:p w14:paraId="16541E1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支持重点处方统计、人工审核统计、自动通过处方统计</w:t>
      </w:r>
    </w:p>
    <w:p w14:paraId="3413684B">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处方点评系统</w:t>
      </w:r>
    </w:p>
    <w:p w14:paraId="6794DC7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支持按照国家处方点评规范所包含的28项点评内容进行点评</w:t>
      </w:r>
    </w:p>
    <w:p w14:paraId="54DA853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支持对每次抽取的处方列表进行编辑或备注</w:t>
      </w:r>
    </w:p>
    <w:p w14:paraId="5E3478F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支持针对住院抗菌药物、门诊抗菌药物进行专项抽取点评</w:t>
      </w:r>
    </w:p>
    <w:p w14:paraId="1E11CFE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支持针对在院患者进行处方的抽取点评</w:t>
      </w:r>
    </w:p>
    <w:p w14:paraId="2C62D7B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支持对抗肿瘤药物、PPI、高警示药品、中药注射剂、中药饮片、人血白蛋白等药品进行专项抽取点评</w:t>
      </w:r>
    </w:p>
    <w:p w14:paraId="66FB7EA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支持围手术期预防用抗菌药物专项抽取点评</w:t>
      </w:r>
    </w:p>
    <w:p w14:paraId="59366BF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支持对处方进行批量自动点评，且点评项目达到80项以上</w:t>
      </w:r>
    </w:p>
    <w:p w14:paraId="17D99FE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支持药师对自动点评的结果进行复核、修改</w:t>
      </w:r>
    </w:p>
    <w:p w14:paraId="12D8365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支持药师在复审自动点评结果时，手动勾选点评结果项目并录入说明</w:t>
      </w:r>
    </w:p>
    <w:p w14:paraId="0BA95DC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支持门诊处方以处方笺形式显示，并能对处方笺里的麻醉、精一、精二、儿童、急诊处方进行颜色区分</w:t>
      </w:r>
    </w:p>
    <w:p w14:paraId="7B7F81A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支持专项药品使用专项点评项目，例如抗菌药物专项点评的项目区别于常规项</w:t>
      </w:r>
    </w:p>
    <w:p w14:paraId="659D756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支持药师处方点评时一键调阅患者在院所有诊疗信息，包括病历、用药清单、检验检查结果等</w:t>
      </w:r>
    </w:p>
    <w:p w14:paraId="64AEB26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支持药师在进行处方点评时查看抗菌药物联用图表，为抗菌药物专项点评提供更多判断信息</w:t>
      </w:r>
    </w:p>
    <w:p w14:paraId="1CFE470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支持设置多样条件进行处方的抽取。包括科室、诊断、医生、药品、患者年龄、处方金额、民政类别、给药途径、发药药房、联合用抗菌药物等</w:t>
      </w:r>
    </w:p>
    <w:p w14:paraId="61F685F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支持按医生数量百分比进行处方的抽取</w:t>
      </w:r>
    </w:p>
    <w:p w14:paraId="497E530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支持按全院处方百分比进行处方抽取</w:t>
      </w:r>
    </w:p>
    <w:p w14:paraId="0E4549B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支持抽取自费处方比例</w:t>
      </w:r>
    </w:p>
    <w:p w14:paraId="132A584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支持抽取全院销售排名前十药品、全院采购排名前十药品进行点评</w:t>
      </w:r>
    </w:p>
    <w:p w14:paraId="5A88C73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支持设置随机处方数量进行处方抽取</w:t>
      </w:r>
    </w:p>
    <w:p w14:paraId="4C4EC69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支持多抽取的处方分多次点评，每次点评的结果能够进行保存</w:t>
      </w:r>
    </w:p>
    <w:p w14:paraId="0525919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支持对当前点评行为进行疑问标记，方便点评完成后进行追溯查看有疑问的处方，并可进行点评或用药咨询</w:t>
      </w:r>
    </w:p>
    <w:p w14:paraId="0D4FBFB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支持实现闭环点评，点评结果反馈至医生站，医生可在医生站查看到药师处方点评结果</w:t>
      </w:r>
    </w:p>
    <w:p w14:paraId="477B02E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支持药师对处方点评规则进行自定义，满足各类专项药品在不同用药环境下的灵活点评</w:t>
      </w:r>
    </w:p>
    <w:p w14:paraId="552C65C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支持点评任务分配，可创建团体处方点评任务，并规定任务完成时间</w:t>
      </w:r>
    </w:p>
    <w:p w14:paraId="2349BD7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支持对抽取条件进行模板建立，以便下次点评时快速进行抽取</w:t>
      </w:r>
    </w:p>
    <w:p w14:paraId="5EF74CB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支持对点评问题以及问题对应点评类型进行自定义设置</w:t>
      </w:r>
    </w:p>
    <w:p w14:paraId="5046B5F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支持对专项点评分类自定义</w:t>
      </w:r>
    </w:p>
    <w:p w14:paraId="43BF820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针对全院处方：</w:t>
      </w:r>
    </w:p>
    <w:p w14:paraId="24EBE9F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支持对未写明日、月龄的新生儿、婴幼儿处方自动点评</w:t>
      </w:r>
    </w:p>
    <w:p w14:paraId="097C3F2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支持对未按照抗菌药物临床应用管理规定开具抗菌药物的处方自动点评</w:t>
      </w:r>
    </w:p>
    <w:p w14:paraId="7E90073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支持对药品与诊断不相符（适应症）的处方自动点评</w:t>
      </w:r>
    </w:p>
    <w:p w14:paraId="7670FA4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支持对存在禁忌症的“孕妇禁/慎用”处方自动点评</w:t>
      </w:r>
    </w:p>
    <w:p w14:paraId="673F66F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支持对存在禁忌症的“哺乳期妇女禁/慎用”处方自动点评</w:t>
      </w:r>
    </w:p>
    <w:p w14:paraId="065DE97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支持对存在禁忌症的“肝功能不全禁/慎用”处方自动点评</w:t>
      </w:r>
    </w:p>
    <w:p w14:paraId="5BD2955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支持对存在禁忌症的“肾功能不全禁/慎用”处方自动点评</w:t>
      </w:r>
    </w:p>
    <w:p w14:paraId="38B7B79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支持对存在禁忌症的“年龄禁/慎用”处方自动点评</w:t>
      </w:r>
    </w:p>
    <w:p w14:paraId="7B0A1FC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支持对存在禁忌症的“性别禁/慎用”处方自动点评</w:t>
      </w:r>
    </w:p>
    <w:p w14:paraId="4E71D09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支持对存在禁忌症的“过敏禁/慎用”处方自动点评</w:t>
      </w:r>
    </w:p>
    <w:p w14:paraId="7F5AF1D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支持对药品剂型或给药途径不适宜的处方自动点评</w:t>
      </w:r>
    </w:p>
    <w:p w14:paraId="5EFD850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支持对用法、用量不适宜的处方自动点评</w:t>
      </w:r>
    </w:p>
    <w:p w14:paraId="3EE60E9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支持对联合用药不适宜的处方自动点评</w:t>
      </w:r>
    </w:p>
    <w:p w14:paraId="1ACA08D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支持对重复给药的处方自动点评</w:t>
      </w:r>
    </w:p>
    <w:p w14:paraId="53C258C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支持对有配伍禁忌或者不良相互作用的处方自动点评</w:t>
      </w:r>
    </w:p>
    <w:p w14:paraId="61D5A6D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支持对无正当理由超说明书用药的处方自动点评</w:t>
      </w:r>
    </w:p>
    <w:p w14:paraId="5C6F1F7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支持对无正当理由为同一患者同时开具2种以上药理作用相同药物的处方自动点评</w:t>
      </w:r>
    </w:p>
    <w:p w14:paraId="2E16CE0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支持对麻醉、精一药品控缓释剂型、其他剂型处方超过规定天数常用量自动点评</w:t>
      </w:r>
    </w:p>
    <w:p w14:paraId="3BEACC6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支持诊断中仅含病毒感染性疾病时使用抗菌药自动点评</w:t>
      </w:r>
    </w:p>
    <w:p w14:paraId="39B0F19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支持诊断为感染性疾病但未进行病原学检查自动点评</w:t>
      </w:r>
    </w:p>
    <w:p w14:paraId="5431546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支持处方医生使用抗菌药物不符合分级管理规定自动点评</w:t>
      </w:r>
    </w:p>
    <w:p w14:paraId="038084E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支持临床诊断填写不规范自动点评</w:t>
      </w:r>
    </w:p>
    <w:p w14:paraId="747791A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支持给药频率填写不规范自动点评（除门诊）</w:t>
      </w:r>
    </w:p>
    <w:p w14:paraId="2A1C41B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支持给药途径填写不规范自动点评</w:t>
      </w:r>
    </w:p>
    <w:p w14:paraId="1911AED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支持溶媒量低于最小值自动点评</w:t>
      </w:r>
    </w:p>
    <w:p w14:paraId="566E6CF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支持溶媒量低于推荐低值自动点评</w:t>
      </w:r>
    </w:p>
    <w:p w14:paraId="655806C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支持溶媒量超过最大值自动点评</w:t>
      </w:r>
    </w:p>
    <w:p w14:paraId="7D096E4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支持溶媒量超过推荐高值自动点评</w:t>
      </w:r>
    </w:p>
    <w:p w14:paraId="6DD7FC5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支持普通中药材剂量超过推荐值自动点评</w:t>
      </w:r>
    </w:p>
    <w:p w14:paraId="11F8AD7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支持毒性中药材剂量超过推荐值自动点评</w:t>
      </w:r>
    </w:p>
    <w:p w14:paraId="0C244F1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支持不规范诊断的自动点评</w:t>
      </w:r>
    </w:p>
    <w:p w14:paraId="67FA94B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支持对慢病的用药量及用药天数进行自动点评</w:t>
      </w:r>
    </w:p>
    <w:p w14:paraId="13284A9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支持对处方金额进行自动点评</w:t>
      </w:r>
    </w:p>
    <w:p w14:paraId="0BC30E8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支持对中药味数进行自动点评</w:t>
      </w:r>
    </w:p>
    <w:p w14:paraId="5510177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65604D2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针对门诊处方：</w:t>
      </w:r>
    </w:p>
    <w:p w14:paraId="3A7D8C3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支持对未分别开具处方的西药、中成药与中药饮片处方自动点评</w:t>
      </w:r>
    </w:p>
    <w:p w14:paraId="7D79F8A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支持对无配药人或审核人的处方自动点评</w:t>
      </w:r>
    </w:p>
    <w:p w14:paraId="4B44AEC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支持对未写临床诊断或临床诊断书写不全的处方自动点评</w:t>
      </w:r>
    </w:p>
    <w:p w14:paraId="24F1E43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支持对超过五种药品的单张门急诊处方自动点评</w:t>
      </w:r>
    </w:p>
    <w:p w14:paraId="6ECD806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支持对无特殊情况下门诊处方超过7日用量、急诊处方超过3日用量、慢性病、老年病或特殊情况下需要适当延长处方用量未注明理由的处方自动点评</w:t>
      </w:r>
    </w:p>
    <w:p w14:paraId="5CC3C88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支持非慢性病/慢性病患者的门、急诊处方药品（非麻醉、非精一药品）总量超过规定天数用量自动点评</w:t>
      </w:r>
    </w:p>
    <w:p w14:paraId="5DEFFC0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支持单张处方为大金额处方自动点评</w:t>
      </w:r>
    </w:p>
    <w:p w14:paraId="5AA408A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支持诊断中仅含病毒感染性疾病时不得使用抗菌药自动点评</w:t>
      </w:r>
    </w:p>
    <w:p w14:paraId="61ED01C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5C69121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针对抗菌药品专项点评：</w:t>
      </w:r>
    </w:p>
    <w:p w14:paraId="45E7F96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无预防用药指征</w:t>
      </w:r>
    </w:p>
    <w:p w14:paraId="6F58110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超抗菌谱预防用药</w:t>
      </w:r>
    </w:p>
    <w:p w14:paraId="20930CB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预防用药起点过高</w:t>
      </w:r>
    </w:p>
    <w:p w14:paraId="445CB9F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特殊人群预防用药不合理</w:t>
      </w:r>
    </w:p>
    <w:p w14:paraId="345692D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预防用药有禁忌症</w:t>
      </w:r>
    </w:p>
    <w:p w14:paraId="784B393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超品种用药</w:t>
      </w:r>
    </w:p>
    <w:p w14:paraId="78DEABE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无多病菌混合感染指征</w:t>
      </w:r>
    </w:p>
    <w:p w14:paraId="11767EB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联用不能协同增加疗效</w:t>
      </w:r>
    </w:p>
    <w:p w14:paraId="09E8D1D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联用增加各自毒性</w:t>
      </w:r>
    </w:p>
    <w:p w14:paraId="43C6A28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同时使用3种以上药物</w:t>
      </w:r>
    </w:p>
    <w:p w14:paraId="36571B0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无联用指征</w:t>
      </w:r>
    </w:p>
    <w:p w14:paraId="46B55FB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溶媒选择不合理</w:t>
      </w:r>
    </w:p>
    <w:p w14:paraId="3724FC5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无更换药物的依据</w:t>
      </w:r>
    </w:p>
    <w:p w14:paraId="20F0824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频繁换药</w:t>
      </w:r>
    </w:p>
    <w:p w14:paraId="45C3736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剂量过大</w:t>
      </w:r>
    </w:p>
    <w:p w14:paraId="762F0F6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剂量过小</w:t>
      </w:r>
    </w:p>
    <w:p w14:paraId="066FE71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预防用药频次不合理</w:t>
      </w:r>
    </w:p>
    <w:p w14:paraId="0E007DF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同时使用3种以上药物-联合预防用药不合理</w:t>
      </w:r>
    </w:p>
    <w:p w14:paraId="43ED8A8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针对围手术期用药专项点评：</w:t>
      </w:r>
    </w:p>
    <w:p w14:paraId="0AE84B6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在切皮前≥2h给药</w:t>
      </w:r>
    </w:p>
    <w:p w14:paraId="0CA1EA5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术前未给药，切皮后或术后给药</w:t>
      </w:r>
    </w:p>
    <w:p w14:paraId="3AA7D45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切皮前&lt;0.5H给药</w:t>
      </w:r>
    </w:p>
    <w:p w14:paraId="538AB59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切皮前0.5-2H给药</w:t>
      </w:r>
    </w:p>
    <w:p w14:paraId="0B648E5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违规追加药品</w:t>
      </w:r>
    </w:p>
    <w:p w14:paraId="2BB4589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手术时间&gt;3H未追加</w:t>
      </w:r>
    </w:p>
    <w:p w14:paraId="40B7AEA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失血&gt;1500ml未追加</w:t>
      </w:r>
    </w:p>
    <w:p w14:paraId="61B380E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术后用药时间长</w:t>
      </w:r>
    </w:p>
    <w:p w14:paraId="3E63ED2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发生ADR处置不当</w:t>
      </w:r>
    </w:p>
    <w:p w14:paraId="1A8E2B4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发生ADR病情加重</w:t>
      </w:r>
    </w:p>
    <w:p w14:paraId="5B1F973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发生ADR未点评上报</w:t>
      </w:r>
    </w:p>
    <w:p w14:paraId="65F8F0F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在切皮前&gt;2H给药-术前用药时间不合理</w:t>
      </w:r>
    </w:p>
    <w:p w14:paraId="1A40573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术前未给药，切皮后或术后给药-术前用药时间不合理</w:t>
      </w:r>
    </w:p>
    <w:p w14:paraId="315DE67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切皮前&lt;0.5H给药-术前用药时间不合理</w:t>
      </w:r>
    </w:p>
    <w:p w14:paraId="7A6034A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手术时间&gt;3H未追加-术中用药不合理</w:t>
      </w:r>
    </w:p>
    <w:p w14:paraId="57D001E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24H~48H-术后用药时间长</w:t>
      </w:r>
    </w:p>
    <w:p w14:paraId="61E670E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48H~72H-术后用药时间长</w:t>
      </w:r>
    </w:p>
    <w:p w14:paraId="60865AA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3天~7天-术后用药时间长</w:t>
      </w:r>
    </w:p>
    <w:p w14:paraId="1D4FD75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&gt;7天-术后用药时间长</w:t>
      </w:r>
    </w:p>
    <w:p w14:paraId="1B04D9F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针对中药饮片专项点评：</w:t>
      </w:r>
    </w:p>
    <w:p w14:paraId="242A4C1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有中药配伍禁忌</w:t>
      </w:r>
    </w:p>
    <w:p w14:paraId="05B50DA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用药与辩证不符</w:t>
      </w:r>
    </w:p>
    <w:p w14:paraId="0DD8B11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中药超过规定味数</w:t>
      </w:r>
    </w:p>
    <w:p w14:paraId="4D0E331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针对TPN处方专项点评：</w:t>
      </w:r>
    </w:p>
    <w:p w14:paraId="34C9F51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供给热量不适宜</w:t>
      </w:r>
    </w:p>
    <w:p w14:paraId="42CCF62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热氮比不适宜</w:t>
      </w:r>
    </w:p>
    <w:p w14:paraId="4C0C453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糖脂比不适宜</w:t>
      </w:r>
    </w:p>
    <w:p w14:paraId="0DC7D29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电解质浓度不适宜</w:t>
      </w:r>
    </w:p>
    <w:p w14:paraId="45E646D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统计报表：</w:t>
      </w:r>
    </w:p>
    <w:p w14:paraId="2E378B9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支持处方点评结果按问题、开单科室、药师等条件分类查询统计</w:t>
      </w:r>
    </w:p>
    <w:p w14:paraId="23F37E5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支持对药师点评工作量，科室点评工作量的统计</w:t>
      </w:r>
    </w:p>
    <w:p w14:paraId="4F41CE6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支持提供全院在某个时间段的点评合理性趋势、问题情况走势</w:t>
      </w:r>
    </w:p>
    <w:p w14:paraId="2A99261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支持对处方点评问题清单的统计</w:t>
      </w:r>
    </w:p>
    <w:p w14:paraId="5057B2F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支持问题清单按科室和医生统计</w:t>
      </w:r>
    </w:p>
    <w:p w14:paraId="4F79DA2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支持在问题清单中查看患者信息和处方（医嘱）信息</w:t>
      </w:r>
    </w:p>
    <w:p w14:paraId="10B26F3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支持自动生成门诊和住院点评工作表并可供下载，门诊和住院点评工作表支持多维度条件查询</w:t>
      </w:r>
    </w:p>
    <w:p w14:paraId="28609C0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支持对围手术期点评结果进行统计</w:t>
      </w:r>
    </w:p>
    <w:p w14:paraId="1D4E30E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支持对门诊处方点评结果汇总统计</w:t>
      </w:r>
    </w:p>
    <w:p w14:paraId="5BB6D38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抗菌药物专项统计</w:t>
      </w:r>
    </w:p>
    <w:p w14:paraId="0FDDB21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提供医院越权使用抗菌药物的用药清单</w:t>
      </w:r>
    </w:p>
    <w:p w14:paraId="47050FB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提供门诊抗菌药物处方分析表，并支持对科室和医生的多维度查看</w:t>
      </w:r>
    </w:p>
    <w:p w14:paraId="2838BBA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提供出院抗菌药物使用统计分析表，并支持对科室和医生的多维度查看</w:t>
      </w:r>
    </w:p>
    <w:p w14:paraId="23836C7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提供医院抗菌药物使用强度统计表，并支持对科室和医生的多维度查看</w:t>
      </w:r>
    </w:p>
    <w:p w14:paraId="03E46AD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提供I、II类切口围手术期预防用药统计表</w:t>
      </w:r>
    </w:p>
    <w:p w14:paraId="6CE4A07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提供住院抗菌药物使用调查表</w:t>
      </w:r>
    </w:p>
    <w:p w14:paraId="19EDAD1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支持对住院抗菌药物使用情况按数量和金额统计</w:t>
      </w:r>
    </w:p>
    <w:p w14:paraId="4E15D82B">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支持对门急诊抗菌药物使用情况按科室和医生进行统计</w:t>
      </w:r>
    </w:p>
    <w:p w14:paraId="3712C5C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双十统计</w:t>
      </w:r>
    </w:p>
    <w:p w14:paraId="663A738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支持对全院销售和采购排名前十的药品进行统计</w:t>
      </w:r>
    </w:p>
    <w:p w14:paraId="6B6EF52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支持点选药品查看该药品的医生和科室使用情况</w:t>
      </w:r>
    </w:p>
    <w:p w14:paraId="1ABEF33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基本药物使用情况统计</w:t>
      </w:r>
    </w:p>
    <w:p w14:paraId="2A84708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支持对基本药物的使用情况进行统计</w:t>
      </w:r>
    </w:p>
    <w:p w14:paraId="35DE8B3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支持从科室和医生的不同维度进行基本药物使用情况统计</w:t>
      </w:r>
    </w:p>
    <w:p w14:paraId="358FAD7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合理用药趋势</w:t>
      </w:r>
    </w:p>
    <w:p w14:paraId="63FDE0E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支持对全院的合理用药趋势进行统计（药品金额、ddds等）</w:t>
      </w:r>
    </w:p>
    <w:p w14:paraId="1DA9ECB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支持按年度、季度、月度进行趋势统计</w:t>
      </w:r>
    </w:p>
    <w:p w14:paraId="1AEBDAF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653AFF94">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处方集</w:t>
      </w:r>
    </w:p>
    <w:p w14:paraId="236BBB2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提供医院处方集功能，支持医院评级过审中对处方集的需求，也满足药师在工作站查看药品说明书的需求</w:t>
      </w:r>
    </w:p>
    <w:p w14:paraId="76F8116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支持药师在处方集查看院外说明书，更方便药师日常学习和工作</w:t>
      </w:r>
    </w:p>
    <w:p w14:paraId="25C0596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支持处方集输出PDF或打印</w:t>
      </w:r>
    </w:p>
    <w:p w14:paraId="5F32E59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病人信息查看</w:t>
      </w:r>
    </w:p>
    <w:p w14:paraId="3E9EA088">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提供药师站通过门诊号或住院号查找对应的患者并查看患者在院所有诊疗信息的功能</w:t>
      </w:r>
    </w:p>
    <w:p w14:paraId="6681509A">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电子药历</w:t>
      </w:r>
    </w:p>
    <w:p w14:paraId="09FE23E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支持药师书写电子药历，并可根据药历书写进度创建“初始药程记录”“日常药程记录”“住院用药总结”等药历</w:t>
      </w:r>
    </w:p>
    <w:p w14:paraId="75B4F7D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支持从his自动关联病人基本信息、电子病历、检查报告等信息，无需多方收集</w:t>
      </w:r>
    </w:p>
    <w:p w14:paraId="3A95BF0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支持药师在书写药历时查看患者在院所有诊疗信息，包括病历、用药清单、检验检查结果等</w:t>
      </w:r>
    </w:p>
    <w:p w14:paraId="1DCEAFE3">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用药教育</w:t>
      </w:r>
    </w:p>
    <w:p w14:paraId="1D3E555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支持对在院和出院的患者编辑用药注意事项以及药师的建议</w:t>
      </w:r>
    </w:p>
    <w:p w14:paraId="7B5D5F3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支持快速过滤离院带药患者的医嘱信息</w:t>
      </w:r>
    </w:p>
    <w:p w14:paraId="481BCFE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支持生成并打印用药教育单</w:t>
      </w:r>
    </w:p>
    <w:p w14:paraId="6E03867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支持药师建议模块快捷创建</w:t>
      </w:r>
    </w:p>
    <w:p w14:paraId="184B64B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支持创建药师建议常用的模版</w:t>
      </w:r>
    </w:p>
    <w:p w14:paraId="1F64A64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支持用药教育书写快捷预览以及一键选择药师建议</w:t>
      </w:r>
    </w:p>
    <w:p w14:paraId="734B3EF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支持维护药品的相关注意事项以及导入说明书相关的内容</w:t>
      </w:r>
    </w:p>
    <w:p w14:paraId="28BC6A4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支持对药师生成用药教育单工作量的统计</w:t>
      </w:r>
    </w:p>
    <w:p w14:paraId="2C5EDA8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27D30A5D">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1.23</w:t>
      </w:r>
      <w:r>
        <w:rPr>
          <w:rFonts w:hint="eastAsia" w:ascii="宋体" w:hAnsi="宋体" w:eastAsia="宋体" w:cs="宋体"/>
          <w:color w:val="000000" w:themeColor="text1"/>
          <w:sz w:val="24"/>
          <w:szCs w:val="24"/>
          <w14:textFill>
            <w14:solidFill>
              <w14:schemeClr w14:val="tx1"/>
            </w14:solidFill>
          </w14:textFill>
        </w:rPr>
        <w:t>心电电生理系统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6641636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心电、脑电及运动平板等各类心电电生理设备管理。</w:t>
      </w:r>
    </w:p>
    <w:p w14:paraId="758E790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用于门诊心电图检查。提取门诊医生站检查申请信息进行预约安排，实现分诊。系统支持检查病人基本信息的HIS自动获取。支持HL7标准的集成技术，中间数据库的集成技术，DICOM标准的集成技术。</w:t>
      </w:r>
    </w:p>
    <w:p w14:paraId="75C5AD8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能够直接从HIS系统获得病人ID、基本信息、交费信息、诊断信息、检查要求等。在数据库中建立病人唯一ID，方便管理。自动产生发放心电图病人检查号，可提供集中登记、分部门登记两种登记方式。预约登记列表中显示不同颜色来区分患者当前的状态</w:t>
      </w:r>
    </w:p>
    <w:p w14:paraId="3B9EDF7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根据登记先后顺序自动排队叫号，可急诊优先和人工干预。</w:t>
      </w:r>
    </w:p>
    <w:p w14:paraId="58F0E1A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提示患者排队时需要等待的人数，可以让70岁以上的高龄病人，危重病人和军人优先检查</w:t>
      </w:r>
    </w:p>
    <w:p w14:paraId="2C0EA22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支持供医生呼叫病人的大屏幕显示，系统会自动语音呼叫,同时在大屏幕显示将要做检查的病人基本信息，提醒病人做好准备，同时节省医生与病人的时间</w:t>
      </w:r>
    </w:p>
    <w:p w14:paraId="4870B3F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支持一级和二级叫号模式。支持与医院现有分诊叫号系统联网使用</w:t>
      </w:r>
    </w:p>
    <w:p w14:paraId="26B53B9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显示屏可以设定动画播报，支持科教视频宣传</w:t>
      </w:r>
    </w:p>
    <w:p w14:paraId="11BAD09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包括门诊、急诊、住院、体检、体检中心等部门心电图机联机数据采集。技师根据不同的申请单选择不同的检查。患者开始做检查的时候，患者的信息会自动调入，通过接收患者的预约单，就可以提取患者的预约信息，然后开始为患者做检查。</w:t>
      </w:r>
    </w:p>
    <w:p w14:paraId="46E0089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技师或护士在操作心电设备为患者检查时，系统会自动填充病人的检查信息，显示出结果来。支持WORKLIST，支持扫描条码腕带</w:t>
      </w:r>
    </w:p>
    <w:p w14:paraId="1BB57DD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系统应该解决医院现有的数字口设备，兼容各种品牌心电图机的接入</w:t>
      </w:r>
    </w:p>
    <w:p w14:paraId="1CAA634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系统应该支持接收同步12导联，15-16导联、18导联静息心电图数据并存储，编辑</w:t>
      </w:r>
    </w:p>
    <w:p w14:paraId="4FB0368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同时支持接收活动平板运动试验、动态心电图、动态血压检查</w:t>
      </w:r>
    </w:p>
    <w:p w14:paraId="36296DD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常规心电以HL7-aECG格式保存，能够转换为MFER,CDA,PDF,DICOM中的至少两项国际标准</w:t>
      </w:r>
    </w:p>
    <w:p w14:paraId="6E67371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通用的分析工具，如同屏对比、波形放大、电子分规测量及心电图数据重新分析功能。对于相同ID号心电数据，系统自动分析比较心电图的变化，并在报告中显示出来；对于传入系统的有干扰波形进行再次滤波调节；</w:t>
      </w:r>
    </w:p>
    <w:p w14:paraId="08B9DF8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对于波形重叠的心电图，支持重新排列以方便测量分析，测量精度达毫秒/微伏级；</w:t>
      </w:r>
    </w:p>
    <w:p w14:paraId="5DC0F3E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通过汉语拼音缩写，快速查找诊断语句，修改报告诊断；</w:t>
      </w:r>
    </w:p>
    <w:p w14:paraId="4E5A48D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可自动统计工作量并自动生成周报、月报或年报，可结合患者基本信息，临床诊断，测量值，心电图诊断综合统计检索，查找并显示统计结果，以便开展多种临床研究；</w:t>
      </w:r>
    </w:p>
    <w:p w14:paraId="78A99BC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列表显示内容用户自定义</w:t>
      </w:r>
    </w:p>
    <w:p w14:paraId="1DCAE1B0">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心电图机的自动测量和诊断语句可存入心电信息系统</w:t>
      </w:r>
    </w:p>
    <w:p w14:paraId="0B40EB17">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图文报告可以PDF等形式输出，支持向网络打印机直接输出报告。包括常规心电图分析系统、动态心电图分析系统和运动心电图分析系统</w:t>
      </w:r>
    </w:p>
    <w:p w14:paraId="54879624">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Cabrera导联功能</w:t>
      </w:r>
    </w:p>
    <w:p w14:paraId="7097B32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附加导联功能</w:t>
      </w:r>
    </w:p>
    <w:p w14:paraId="06C1A5D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导联组合：多份图谱任意导联组合，快速15导、18导处理</w:t>
      </w:r>
    </w:p>
    <w:p w14:paraId="4E049A99">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图谱合并：多份图谱任意合并，快速15导、18导处理</w:t>
      </w:r>
    </w:p>
    <w:p w14:paraId="21ABC9D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电轴测量，心电轴对照表</w:t>
      </w:r>
    </w:p>
    <w:p w14:paraId="566AB995">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阿托品试验采集及处理流程</w:t>
      </w:r>
    </w:p>
    <w:p w14:paraId="575E74BA">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任意心搏放大</w:t>
      </w:r>
    </w:p>
    <w:p w14:paraId="5DB0D71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单导联图谱漂移功能</w:t>
      </w:r>
    </w:p>
    <w:p w14:paraId="643961AE">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全屏图谱漂移功能</w:t>
      </w:r>
    </w:p>
    <w:p w14:paraId="08652A8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漏诊提示</w:t>
      </w:r>
    </w:p>
    <w:p w14:paraId="2C1C459F">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危急值预警流程：出现危机值数据,执行预警报警、优先诊断等</w:t>
      </w:r>
    </w:p>
    <w:p w14:paraId="53A7A56D">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诊断分级：对所有采集下来的数据进行诊断分级处理</w:t>
      </w:r>
    </w:p>
    <w:p w14:paraId="61821712">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嵌入门诊医生站、住院电子病历系统。当心电图专业医生确认检查报告后，在全院的医生工作站上就可以浏览到具有查看权限的心电图结论，心电波形和打印带网格的心电图报告。Web浏览无需安装控件，可以查看原始数据，可以调整走速和增益。</w:t>
      </w:r>
    </w:p>
    <w:p w14:paraId="56BBEA86">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具有在线心电图分析功能，查看长时间原始心电波形；提供心电图处理测量功能，波形显示、幅值调整、单页多页显示、新旧病历对比功能、心拍自动分析、心拍特征点自动识别、心拍特征点手动微调、走纸速度调整、波形放大等功能</w:t>
      </w:r>
    </w:p>
    <w:p w14:paraId="0221007C">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该系统可以设立多种查询条件，支持模糊查询，并可进行统计。统计结果包括工作量、费用，消耗等。具体分为患者信息查询，仪器使用统计，工作量费用统计，阳性查询，低值查询，数据范围查询等，使心电图的各种分类、心电图的查询、调阅和统计都变得方便。利用这些资源，心电图科室在人员培训、研究创新、量化管理等方面都可以很方便地开展。包括：工作量统计，设备负载统计，病症分类统计，提供统计模板，统计结果导出</w:t>
      </w:r>
    </w:p>
    <w:p w14:paraId="471C3471">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提供科室配置，医生、护士、技师等用户的角色权限管理，工作量统计等。提供集中的用户及权限管理程序，通过系统管理员为用户授权，不同权限管理不同的内容。提供用户分组机制，用于简化用户授权。提供用户访问日志功能，对访问过的数据以及特殊的操作进行记录，并提供记录查看和检索手段</w:t>
      </w:r>
    </w:p>
    <w:p w14:paraId="6D7A6053">
      <w:pPr>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要求系统支持模糊万能查询。支持用户自定义查询方法。支持数据输出为DBF、EXCEL、TXT、JPG等格式供第三方软件分析，能进行各种分类分项统计，提供各种统计报表样张。</w:t>
      </w:r>
    </w:p>
    <w:p w14:paraId="5F45A45E">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1.24</w:t>
      </w:r>
      <w:r>
        <w:rPr>
          <w:rFonts w:hint="eastAsia" w:ascii="宋体" w:hAnsi="宋体" w:eastAsia="宋体" w:cs="宋体"/>
          <w:color w:val="000000" w:themeColor="text1"/>
          <w:sz w:val="24"/>
          <w:szCs w:val="24"/>
          <w14:textFill>
            <w14:solidFill>
              <w14:schemeClr w14:val="tx1"/>
            </w14:solidFill>
          </w14:textFill>
        </w:rPr>
        <w:t>手术麻醉管理信息系统（用于医院四个手术间）</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tbl>
      <w:tblPr>
        <w:tblStyle w:val="46"/>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1913"/>
        <w:gridCol w:w="6875"/>
      </w:tblGrid>
      <w:tr w14:paraId="7E53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tcPr>
          <w:p w14:paraId="0DBF990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系统</w:t>
            </w:r>
          </w:p>
        </w:tc>
        <w:tc>
          <w:tcPr>
            <w:tcW w:w="1913" w:type="dxa"/>
          </w:tcPr>
          <w:p w14:paraId="0A5F0E3F">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功能</w:t>
            </w:r>
          </w:p>
        </w:tc>
        <w:tc>
          <w:tcPr>
            <w:tcW w:w="6875" w:type="dxa"/>
          </w:tcPr>
          <w:p w14:paraId="7BB232CB">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功能要求</w:t>
            </w:r>
          </w:p>
        </w:tc>
      </w:tr>
      <w:tr w14:paraId="4E8F0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restart"/>
            <w:vAlign w:val="center"/>
          </w:tcPr>
          <w:p w14:paraId="64764202">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麻醉临床信息系统</w:t>
            </w:r>
          </w:p>
        </w:tc>
        <w:tc>
          <w:tcPr>
            <w:tcW w:w="1913" w:type="dxa"/>
            <w:vAlign w:val="center"/>
          </w:tcPr>
          <w:p w14:paraId="27CF42E2">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手术数据来源</w:t>
            </w:r>
          </w:p>
        </w:tc>
        <w:tc>
          <w:tcPr>
            <w:tcW w:w="6875" w:type="dxa"/>
          </w:tcPr>
          <w:p w14:paraId="5545B11E">
            <w:pPr>
              <w:pageBreakBefore w:val="0"/>
              <w:widowControl w:val="0"/>
              <w:numPr>
                <w:ilvl w:val="0"/>
                <w:numId w:val="1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支持HIS申请手术计划。 </w:t>
            </w:r>
          </w:p>
          <w:p w14:paraId="6DA89DA5">
            <w:pPr>
              <w:pageBreakBefore w:val="0"/>
              <w:widowControl w:val="0"/>
              <w:numPr>
                <w:ilvl w:val="0"/>
                <w:numId w:val="1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支持不连接HIS接口状态下，直接通过本系统申请手术。</w:t>
            </w:r>
          </w:p>
          <w:p w14:paraId="78B4A34C">
            <w:pPr>
              <w:pageBreakBefore w:val="0"/>
              <w:widowControl w:val="0"/>
              <w:numPr>
                <w:ilvl w:val="0"/>
                <w:numId w:val="1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支持急诊或者其他紧急情况下的快速手术申请。</w:t>
            </w:r>
          </w:p>
          <w:p w14:paraId="44E98B3A">
            <w:pPr>
              <w:pageBreakBefore w:val="0"/>
              <w:widowControl w:val="0"/>
              <w:numPr>
                <w:ilvl w:val="0"/>
                <w:numId w:val="1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支持直接从HIS获取病人信息。</w:t>
            </w:r>
          </w:p>
        </w:tc>
      </w:tr>
      <w:tr w14:paraId="6D5E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608780C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49650161">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手术计划管理</w:t>
            </w:r>
          </w:p>
        </w:tc>
        <w:tc>
          <w:tcPr>
            <w:tcW w:w="6875" w:type="dxa"/>
          </w:tcPr>
          <w:p w14:paraId="42F2B5F6">
            <w:pPr>
              <w:pageBreakBefore w:val="0"/>
              <w:widowControl w:val="0"/>
              <w:numPr>
                <w:ilvl w:val="0"/>
                <w:numId w:val="2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支持修改从HIS系统获取的手术计划信息 。</w:t>
            </w:r>
          </w:p>
          <w:p w14:paraId="743B8265">
            <w:pPr>
              <w:pageBreakBefore w:val="0"/>
              <w:widowControl w:val="0"/>
              <w:numPr>
                <w:ilvl w:val="0"/>
                <w:numId w:val="2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支持推迟、暂停、删除手术。</w:t>
            </w:r>
          </w:p>
          <w:p w14:paraId="2A064957">
            <w:pPr>
              <w:pageBreakBefore w:val="0"/>
              <w:widowControl w:val="0"/>
              <w:numPr>
                <w:ilvl w:val="0"/>
                <w:numId w:val="2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支持麻醉科、手术室分别安排或者调整手术室、台次、麻醉医生、护士。</w:t>
            </w:r>
          </w:p>
          <w:p w14:paraId="4E3850C4">
            <w:pPr>
              <w:pageBreakBefore w:val="0"/>
              <w:widowControl w:val="0"/>
              <w:numPr>
                <w:ilvl w:val="0"/>
                <w:numId w:val="2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支持批量安排手术、麻醉医生、护士。</w:t>
            </w:r>
          </w:p>
          <w:p w14:paraId="617F57F3">
            <w:pPr>
              <w:pageBreakBefore w:val="0"/>
              <w:widowControl w:val="0"/>
              <w:numPr>
                <w:ilvl w:val="0"/>
                <w:numId w:val="2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支持对急诊手术的安排。</w:t>
            </w:r>
          </w:p>
        </w:tc>
      </w:tr>
      <w:tr w14:paraId="0600E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AA355C1">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771D992A">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手术通知单管理</w:t>
            </w:r>
          </w:p>
        </w:tc>
        <w:tc>
          <w:tcPr>
            <w:tcW w:w="6875" w:type="dxa"/>
          </w:tcPr>
          <w:p w14:paraId="4589C81C">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支持按日及快捷查询当天及第二天手术。</w:t>
            </w:r>
          </w:p>
          <w:p w14:paraId="51CEAAB8">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支持查询当前手术间、当前医生手术。</w:t>
            </w:r>
          </w:p>
          <w:p w14:paraId="007838CD">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支持查询指定日期的已完成手术。</w:t>
            </w:r>
          </w:p>
          <w:p w14:paraId="1F27CFCA">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支持快捷手术拆台。</w:t>
            </w:r>
          </w:p>
          <w:p w14:paraId="555B3E84">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支持药品术前快捷申请。</w:t>
            </w:r>
          </w:p>
          <w:p w14:paraId="287A33E5">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支持术前延迟、删除手术。</w:t>
            </w:r>
          </w:p>
          <w:p w14:paraId="7325A391">
            <w:pPr>
              <w:pageBreakBefore w:val="0"/>
              <w:widowControl w:val="0"/>
              <w:numPr>
                <w:ilvl w:val="0"/>
                <w:numId w:val="2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支持手术准备提醒设置。</w:t>
            </w:r>
          </w:p>
        </w:tc>
      </w:tr>
      <w:tr w14:paraId="20C9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6BBF6854">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29125E7F">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术前单据</w:t>
            </w:r>
          </w:p>
        </w:tc>
        <w:tc>
          <w:tcPr>
            <w:tcW w:w="6875" w:type="dxa"/>
          </w:tcPr>
          <w:p w14:paraId="40BFEAE7">
            <w:pPr>
              <w:pageBreakBefore w:val="0"/>
              <w:widowControl w:val="0"/>
              <w:numPr>
                <w:ilvl w:val="0"/>
                <w:numId w:val="2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支持术前访视单定制化录入、编辑、打印。 </w:t>
            </w:r>
          </w:p>
          <w:p w14:paraId="1DA385AC">
            <w:pPr>
              <w:pageBreakBefore w:val="0"/>
              <w:widowControl w:val="0"/>
              <w:numPr>
                <w:ilvl w:val="0"/>
                <w:numId w:val="2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支持麻醉知情同意书录入、编辑、打印。 </w:t>
            </w:r>
          </w:p>
          <w:p w14:paraId="254BE496">
            <w:pPr>
              <w:pageBreakBefore w:val="0"/>
              <w:widowControl w:val="0"/>
              <w:numPr>
                <w:ilvl w:val="0"/>
                <w:numId w:val="2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支持术前安全核查定制化录入、编辑、打印。 </w:t>
            </w:r>
          </w:p>
          <w:p w14:paraId="6B8D24CF">
            <w:pPr>
              <w:pageBreakBefore w:val="0"/>
              <w:widowControl w:val="0"/>
              <w:numPr>
                <w:ilvl w:val="0"/>
                <w:numId w:val="2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支持术前清点录入、编辑、打印。 </w:t>
            </w:r>
          </w:p>
        </w:tc>
      </w:tr>
      <w:tr w14:paraId="0862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7FED87D3">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5680939A">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手术开始</w:t>
            </w:r>
          </w:p>
        </w:tc>
        <w:tc>
          <w:tcPr>
            <w:tcW w:w="6875" w:type="dxa"/>
          </w:tcPr>
          <w:p w14:paraId="1DAB4ECB">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支持用户快速操作生命体征采集。 </w:t>
            </w:r>
          </w:p>
          <w:p w14:paraId="4FFA7F09">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支持术中事件的快速录入、修改。 </w:t>
            </w:r>
          </w:p>
          <w:p w14:paraId="57E86C70">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支持用户修改手术参与人员。 </w:t>
            </w:r>
          </w:p>
          <w:p w14:paraId="0A94DB4F">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支持规范化录入手术名称、诊断名称(ICD)。 </w:t>
            </w:r>
          </w:p>
          <w:p w14:paraId="0BAE1848">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支持对术前病人体征信息的录入。 </w:t>
            </w:r>
          </w:p>
          <w:p w14:paraId="30E62693">
            <w:pPr>
              <w:pageBreakBefore w:val="0"/>
              <w:widowControl w:val="0"/>
              <w:numPr>
                <w:ilvl w:val="0"/>
                <w:numId w:val="2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支持选择监护项。</w:t>
            </w:r>
          </w:p>
        </w:tc>
      </w:tr>
      <w:tr w14:paraId="4ED72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8C21F0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5A2DDF02">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术中事件管理</w:t>
            </w:r>
          </w:p>
        </w:tc>
        <w:tc>
          <w:tcPr>
            <w:tcW w:w="6875" w:type="dxa"/>
          </w:tcPr>
          <w:p w14:paraId="2CD12CCA">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支持监控生命体征的实时刷新（间隔不大于1分钟）。 </w:t>
            </w:r>
          </w:p>
          <w:p w14:paraId="6FB00BC9">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支持对手术事件、处置、出入量的分别管理。 </w:t>
            </w:r>
          </w:p>
          <w:p w14:paraId="4FC10605">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支持对出入量的快速合计计算。 </w:t>
            </w:r>
          </w:p>
          <w:p w14:paraId="3B10CC27">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支持对持续用药的录入、修改、速度变更、停止。 </w:t>
            </w:r>
          </w:p>
          <w:p w14:paraId="0E74C1F2">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支持术中事件和事件相关用药（用药量、浓度、输注途径）、通气模式等参数的关联录入，并将关联关系反应到麻醉记录单中。 </w:t>
            </w:r>
          </w:p>
          <w:p w14:paraId="30412939">
            <w:pPr>
              <w:pageBreakBefore w:val="0"/>
              <w:widowControl w:val="0"/>
              <w:numPr>
                <w:ilvl w:val="0"/>
                <w:numId w:val="24"/>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支持使用手术事件快速套餐，套餐能预设事件开始时间并支持预置事件参数。</w:t>
            </w:r>
          </w:p>
        </w:tc>
      </w:tr>
      <w:tr w14:paraId="342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300E60FF">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32ABD9E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术中监控管理</w:t>
            </w:r>
          </w:p>
        </w:tc>
        <w:tc>
          <w:tcPr>
            <w:tcW w:w="6875" w:type="dxa"/>
          </w:tcPr>
          <w:p w14:paraId="05D410EC">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支持设置手术开始时间。 </w:t>
            </w:r>
          </w:p>
          <w:p w14:paraId="3399ED93">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支持浏览整个手术过程中的趋势图。 </w:t>
            </w:r>
          </w:p>
          <w:p w14:paraId="333BF0F4">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支持录入调整及在图线上直接调整误差数据。 </w:t>
            </w:r>
          </w:p>
          <w:p w14:paraId="1D977E3C">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支持调整监控的数据参数。 </w:t>
            </w:r>
          </w:p>
          <w:p w14:paraId="57D2831C">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支持修改手术基本信息、手术参与人员信息。 </w:t>
            </w:r>
          </w:p>
          <w:p w14:paraId="41FCB5AB">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支持院感需要的切口、植入物、抗菌药等信息。 </w:t>
            </w:r>
          </w:p>
          <w:p w14:paraId="16D23B90">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支持术中评分管理。 </w:t>
            </w:r>
          </w:p>
          <w:p w14:paraId="1A43C002">
            <w:pPr>
              <w:pageBreakBefore w:val="0"/>
              <w:widowControl w:val="0"/>
              <w:numPr>
                <w:ilvl w:val="0"/>
                <w:numId w:val="25"/>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支持术中抢救功能，趋势图线根据抢救时间间隔绘制图线，以保证抢救中生命体征信息显示密度不大于1分钟。</w:t>
            </w:r>
          </w:p>
        </w:tc>
      </w:tr>
      <w:tr w14:paraId="12FB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17D1407">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7676267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手术单据及手术登记管理</w:t>
            </w:r>
          </w:p>
        </w:tc>
        <w:tc>
          <w:tcPr>
            <w:tcW w:w="6875" w:type="dxa"/>
          </w:tcPr>
          <w:p w14:paraId="2DAF4A00">
            <w:pPr>
              <w:pageBreakBefore w:val="0"/>
              <w:widowControl w:val="0"/>
              <w:numPr>
                <w:ilvl w:val="0"/>
                <w:numId w:val="26"/>
              </w:numPr>
              <w:tabs>
                <w:tab w:val="left" w:pos="530"/>
              </w:tabs>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麻醉记录单符合麻醉记录单书写质量评分标准。</w:t>
            </w:r>
          </w:p>
          <w:p w14:paraId="38B6ABA8">
            <w:pPr>
              <w:pageBreakBefore w:val="0"/>
              <w:widowControl w:val="0"/>
              <w:numPr>
                <w:ilvl w:val="0"/>
                <w:numId w:val="26"/>
              </w:numPr>
              <w:tabs>
                <w:tab w:val="left" w:pos="530"/>
              </w:tabs>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麻醉记录单必须包含病人姓名、性别、病历号、住院号、病区、床位号、年龄、身高、体重、手术难度、隔离、禁食、术前术后诊断、拟施（实施）手术、拟施（实施）麻醉、ASA等。 </w:t>
            </w:r>
          </w:p>
          <w:p w14:paraId="52E414B6">
            <w:pPr>
              <w:pageBreakBefore w:val="0"/>
              <w:widowControl w:val="0"/>
              <w:numPr>
                <w:ilvl w:val="0"/>
                <w:numId w:val="26"/>
              </w:numPr>
              <w:tabs>
                <w:tab w:val="left" w:pos="530"/>
              </w:tabs>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麻醉术后小结单可支持定制。必须包含输血项、晶体胶体项、失血项、排尿项、引流液项、麻醉时间、手术时间、有创操作、麻醉评价、术后医嘱、术后生命体征、特殊情况记录、术后镇痛记录、镇痛配方等。</w:t>
            </w:r>
          </w:p>
        </w:tc>
      </w:tr>
      <w:tr w14:paraId="6FE8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52503300">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69C17285">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科室管理</w:t>
            </w:r>
          </w:p>
        </w:tc>
        <w:tc>
          <w:tcPr>
            <w:tcW w:w="6875" w:type="dxa"/>
          </w:tcPr>
          <w:p w14:paraId="3D534B42">
            <w:pPr>
              <w:pageBreakBefore w:val="0"/>
              <w:widowControl w:val="0"/>
              <w:numPr>
                <w:ilvl w:val="0"/>
                <w:numId w:val="27"/>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支持对手术室的使用情况进行管理。</w:t>
            </w:r>
          </w:p>
          <w:p w14:paraId="3F7AEEE1">
            <w:pPr>
              <w:pageBreakBefore w:val="0"/>
              <w:widowControl w:val="0"/>
              <w:numPr>
                <w:ilvl w:val="0"/>
                <w:numId w:val="27"/>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支持对麻醉医生的外诊工作进行记录，并自动按规则评分。 </w:t>
            </w:r>
          </w:p>
          <w:p w14:paraId="6A2B07A6">
            <w:pPr>
              <w:pageBreakBefore w:val="0"/>
              <w:widowControl w:val="0"/>
              <w:numPr>
                <w:ilvl w:val="0"/>
                <w:numId w:val="27"/>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支持对麻醉医生、护士的工作绩效进行自动考核。 </w:t>
            </w:r>
          </w:p>
          <w:p w14:paraId="0FD16A50">
            <w:pPr>
              <w:pageBreakBefore w:val="0"/>
              <w:widowControl w:val="0"/>
              <w:numPr>
                <w:ilvl w:val="0"/>
                <w:numId w:val="27"/>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主任工作站支持实施查看正在进行的手术，包含手术用药、病人生命体征、麻醉处置、出入量情况等。</w:t>
            </w:r>
          </w:p>
        </w:tc>
      </w:tr>
      <w:tr w14:paraId="743E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393851B2">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40A2E1F8">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权限管理</w:t>
            </w:r>
          </w:p>
        </w:tc>
        <w:tc>
          <w:tcPr>
            <w:tcW w:w="6875" w:type="dxa"/>
          </w:tcPr>
          <w:p w14:paraId="43C3CBCC">
            <w:pPr>
              <w:pageBreakBefore w:val="0"/>
              <w:widowControl w:val="0"/>
              <w:numPr>
                <w:ilvl w:val="0"/>
                <w:numId w:val="28"/>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支持对用户进行管理，并支持单独授权。</w:t>
            </w:r>
          </w:p>
          <w:p w14:paraId="496E2FBE">
            <w:pPr>
              <w:pageBreakBefore w:val="0"/>
              <w:widowControl w:val="0"/>
              <w:numPr>
                <w:ilvl w:val="0"/>
                <w:numId w:val="28"/>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支持对用户进行分类管理，并支持批量授权； </w:t>
            </w:r>
          </w:p>
          <w:p w14:paraId="232A75AD">
            <w:pPr>
              <w:pageBreakBefore w:val="0"/>
              <w:widowControl w:val="0"/>
              <w:numPr>
                <w:ilvl w:val="0"/>
                <w:numId w:val="28"/>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支持对特殊权限的单用户授权和去权。 </w:t>
            </w:r>
          </w:p>
          <w:p w14:paraId="2EF125AC">
            <w:pPr>
              <w:pageBreakBefore w:val="0"/>
              <w:widowControl w:val="0"/>
              <w:numPr>
                <w:ilvl w:val="0"/>
                <w:numId w:val="28"/>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支持对不同类型工作站的权限进行分别管理。</w:t>
            </w:r>
          </w:p>
        </w:tc>
      </w:tr>
      <w:tr w14:paraId="19AE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2EA2FBB4">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3D9EE60F">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接口管理</w:t>
            </w:r>
          </w:p>
        </w:tc>
        <w:tc>
          <w:tcPr>
            <w:tcW w:w="6875" w:type="dxa"/>
          </w:tcPr>
          <w:p w14:paraId="13EC93BC">
            <w:pPr>
              <w:pageBreakBefore w:val="0"/>
              <w:widowControl w:val="0"/>
              <w:numPr>
                <w:ilvl w:val="0"/>
                <w:numId w:val="2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支持HIS系统接口。 </w:t>
            </w:r>
          </w:p>
          <w:p w14:paraId="75EC554E">
            <w:pPr>
              <w:pageBreakBefore w:val="0"/>
              <w:widowControl w:val="0"/>
              <w:numPr>
                <w:ilvl w:val="0"/>
                <w:numId w:val="2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支持LIS系统接口。 </w:t>
            </w:r>
          </w:p>
          <w:p w14:paraId="06919284">
            <w:pPr>
              <w:pageBreakBefore w:val="0"/>
              <w:widowControl w:val="0"/>
              <w:numPr>
                <w:ilvl w:val="0"/>
                <w:numId w:val="29"/>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支持等级评审第七章麻醉相关数据接口。</w:t>
            </w:r>
          </w:p>
        </w:tc>
      </w:tr>
      <w:tr w14:paraId="6E1B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581C14CE">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4856F5EE">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设备管理</w:t>
            </w:r>
          </w:p>
        </w:tc>
        <w:tc>
          <w:tcPr>
            <w:tcW w:w="6875" w:type="dxa"/>
          </w:tcPr>
          <w:p w14:paraId="4B259629">
            <w:pPr>
              <w:pageBreakBefore w:val="0"/>
              <w:widowControl w:val="0"/>
              <w:numPr>
                <w:ilvl w:val="0"/>
                <w:numId w:val="3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支持对手术间的监护设备进行配置管理。 </w:t>
            </w:r>
          </w:p>
          <w:p w14:paraId="7BFE6F8B">
            <w:pPr>
              <w:pageBreakBefore w:val="0"/>
              <w:widowControl w:val="0"/>
              <w:numPr>
                <w:ilvl w:val="0"/>
                <w:numId w:val="3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支持多个手术间分别使用不同品牌、型号的监护设备，并能正确采集生命体征数据。 </w:t>
            </w:r>
          </w:p>
          <w:p w14:paraId="6B0A20BA">
            <w:pPr>
              <w:pageBreakBefore w:val="0"/>
              <w:widowControl w:val="0"/>
              <w:numPr>
                <w:ilvl w:val="0"/>
                <w:numId w:val="3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支持对监控设置的登记管理。  </w:t>
            </w:r>
          </w:p>
          <w:p w14:paraId="7E967BDF">
            <w:pPr>
              <w:pageBreakBefore w:val="0"/>
              <w:widowControl w:val="0"/>
              <w:numPr>
                <w:ilvl w:val="0"/>
                <w:numId w:val="30"/>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支持主流监护仪的数据接入。</w:t>
            </w:r>
          </w:p>
        </w:tc>
      </w:tr>
      <w:tr w14:paraId="4C50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restart"/>
            <w:vAlign w:val="center"/>
          </w:tcPr>
          <w:p w14:paraId="22C36AF8">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复苏室信息管理系统</w:t>
            </w:r>
          </w:p>
        </w:tc>
        <w:tc>
          <w:tcPr>
            <w:tcW w:w="1913" w:type="dxa"/>
            <w:vAlign w:val="center"/>
          </w:tcPr>
          <w:p w14:paraId="3DEB69C3">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复苏病人浏览</w:t>
            </w:r>
          </w:p>
        </w:tc>
        <w:tc>
          <w:tcPr>
            <w:tcW w:w="6875" w:type="dxa"/>
          </w:tcPr>
          <w:p w14:paraId="0B452420">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（1）支持根据手术复苏信息，查询复苏病人。</w:t>
            </w:r>
          </w:p>
          <w:p w14:paraId="7687A1A2">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（2）支持手动把未设置复苏的病人，加入复苏列表。</w:t>
            </w:r>
          </w:p>
        </w:tc>
      </w:tr>
      <w:tr w14:paraId="0255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51A37D13">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08023273">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复苏采集</w:t>
            </w:r>
          </w:p>
        </w:tc>
        <w:tc>
          <w:tcPr>
            <w:tcW w:w="6875" w:type="dxa"/>
          </w:tcPr>
          <w:p w14:paraId="57561282">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（1）支持单台工作站集中采集多个监护仪的信息。</w:t>
            </w:r>
          </w:p>
          <w:p w14:paraId="1C10EFED">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（2）支持采集异常报警。</w:t>
            </w:r>
          </w:p>
          <w:p w14:paraId="50D123C0">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（3）支持对每个床位监护仪的采集数据状态进行实时监控。</w:t>
            </w:r>
          </w:p>
        </w:tc>
      </w:tr>
      <w:tr w14:paraId="0959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1DDC5C8F">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29D78C9B">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复苏室单元管理</w:t>
            </w:r>
          </w:p>
        </w:tc>
        <w:tc>
          <w:tcPr>
            <w:tcW w:w="6875" w:type="dxa"/>
          </w:tcPr>
          <w:p w14:paraId="4D39D8B2">
            <w:pPr>
              <w:pageBreakBefore w:val="0"/>
              <w:widowControl w:val="0"/>
              <w:numPr>
                <w:ilvl w:val="0"/>
                <w:numId w:val="3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复苏室按床位最大每六张组成一个服务器单元，用户可以同时监控六张床位的患者生命体征的变化。 </w:t>
            </w:r>
          </w:p>
          <w:p w14:paraId="3F3AFBF5">
            <w:pPr>
              <w:pageBreakBefore w:val="0"/>
              <w:widowControl w:val="0"/>
              <w:numPr>
                <w:ilvl w:val="0"/>
                <w:numId w:val="3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支持多床位患者生命体征的实时监测。 </w:t>
            </w:r>
          </w:p>
          <w:p w14:paraId="54E0B0EE">
            <w:pPr>
              <w:pageBreakBefore w:val="0"/>
              <w:widowControl w:val="0"/>
              <w:numPr>
                <w:ilvl w:val="0"/>
                <w:numId w:val="3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支持切换到单一窗口显示。 </w:t>
            </w:r>
          </w:p>
          <w:p w14:paraId="4AF08CE0">
            <w:pPr>
              <w:pageBreakBefore w:val="0"/>
              <w:widowControl w:val="0"/>
              <w:numPr>
                <w:ilvl w:val="0"/>
                <w:numId w:val="31"/>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支持自定义位置显示患者信息</w:t>
            </w:r>
          </w:p>
        </w:tc>
      </w:tr>
      <w:tr w14:paraId="3DD13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3276278">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58F96B9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复苏室床位管理</w:t>
            </w:r>
          </w:p>
        </w:tc>
        <w:tc>
          <w:tcPr>
            <w:tcW w:w="6875" w:type="dxa"/>
          </w:tcPr>
          <w:p w14:paraId="73A22D97">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支持按床位加入病人，并读取病人信息及手术信息。 </w:t>
            </w:r>
          </w:p>
          <w:p w14:paraId="2FBBE59B">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支持根据床位，自动读取对应监护仪的生命体征数据。</w:t>
            </w:r>
          </w:p>
          <w:p w14:paraId="56642693">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支持根据生命体征数据，绘制趋势图。</w:t>
            </w:r>
          </w:p>
          <w:p w14:paraId="5B28C93D">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支持增加恢复室事件、处置、出入量、持续用药等。</w:t>
            </w:r>
          </w:p>
          <w:p w14:paraId="46BD2252">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支持恢复室事件等保存为套餐，并调用套餐。</w:t>
            </w:r>
          </w:p>
          <w:p w14:paraId="60DA729D">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支持恢复室事件自定义快捷按键。</w:t>
            </w:r>
          </w:p>
          <w:p w14:paraId="376BCE2C">
            <w:pPr>
              <w:pageBreakBefore w:val="0"/>
              <w:widowControl w:val="0"/>
              <w:numPr>
                <w:ilvl w:val="0"/>
                <w:numId w:val="32"/>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支持对恢复信息进行快速编辑。</w:t>
            </w:r>
          </w:p>
        </w:tc>
      </w:tr>
      <w:tr w14:paraId="3820D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1F7869F1">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6984FAE5">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复苏室单据管理</w:t>
            </w:r>
          </w:p>
        </w:tc>
        <w:tc>
          <w:tcPr>
            <w:tcW w:w="6875" w:type="dxa"/>
          </w:tcPr>
          <w:p w14:paraId="2D9A13CF">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（1）支持使用本功能查询过往恢复室记录单信息 </w:t>
            </w:r>
          </w:p>
          <w:p w14:paraId="0AF6C644">
            <w:pPr>
              <w:pageBreakBefore w:val="0"/>
              <w:kinsoku/>
              <w:wordWrap/>
              <w:overflowPunct/>
              <w:topLinePunct w:val="0"/>
              <w:autoSpaceDE/>
              <w:autoSpaceDN/>
              <w:bidi w:val="0"/>
              <w:adjustRightInd w:val="0"/>
              <w:snapToGrid w:val="0"/>
              <w:spacing w:line="240" w:lineRule="auto"/>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（2）支持并修改或者重新打印该恢复室记录单。</w:t>
            </w:r>
          </w:p>
        </w:tc>
      </w:tr>
      <w:tr w14:paraId="677A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restart"/>
            <w:vAlign w:val="center"/>
          </w:tcPr>
          <w:p w14:paraId="6014AA65">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手术麻醉智能质控系统</w:t>
            </w:r>
          </w:p>
        </w:tc>
        <w:tc>
          <w:tcPr>
            <w:tcW w:w="1913" w:type="dxa"/>
            <w:vAlign w:val="center"/>
          </w:tcPr>
          <w:p w14:paraId="13D9DA68">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报表管理</w:t>
            </w:r>
          </w:p>
        </w:tc>
        <w:tc>
          <w:tcPr>
            <w:tcW w:w="6875" w:type="dxa"/>
          </w:tcPr>
          <w:p w14:paraId="279C88F8">
            <w:pPr>
              <w:pageBreakBefore w:val="0"/>
              <w:widowControl w:val="0"/>
              <w:numPr>
                <w:ilvl w:val="0"/>
                <w:numId w:val="3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质控项目要求符合国家等级评审及JCI双标准。</w:t>
            </w:r>
          </w:p>
          <w:p w14:paraId="3B3F6CFB">
            <w:pPr>
              <w:pageBreakBefore w:val="0"/>
              <w:widowControl w:val="0"/>
              <w:numPr>
                <w:ilvl w:val="0"/>
                <w:numId w:val="3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质控项目符合麻醉专业医疗质量控制指标（2015版）要求。</w:t>
            </w:r>
          </w:p>
          <w:p w14:paraId="0B44BFB0">
            <w:pPr>
              <w:pageBreakBefore w:val="0"/>
              <w:widowControl w:val="0"/>
              <w:numPr>
                <w:ilvl w:val="0"/>
                <w:numId w:val="33"/>
              </w:numPr>
              <w:kinsoku/>
              <w:wordWrap/>
              <w:overflowPunct/>
              <w:topLinePunct w:val="0"/>
              <w:autoSpaceDE/>
              <w:autoSpaceDN/>
              <w:bidi w:val="0"/>
              <w:adjustRightInd w:val="0"/>
              <w:snapToGrid w:val="0"/>
              <w:spacing w:line="240" w:lineRule="auto"/>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质控报表均可自动生成,无需术后手动录入各种数据再生成报表。</w:t>
            </w:r>
          </w:p>
        </w:tc>
      </w:tr>
      <w:tr w14:paraId="657B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62E6721B">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3DB45CFC">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手术质控模块功能</w:t>
            </w:r>
          </w:p>
        </w:tc>
        <w:tc>
          <w:tcPr>
            <w:tcW w:w="6875" w:type="dxa"/>
          </w:tcPr>
          <w:p w14:paraId="4B600DF5">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手术例数统计。</w:t>
            </w:r>
          </w:p>
          <w:p w14:paraId="3F0444C0">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ASA分级统计。</w:t>
            </w:r>
          </w:p>
          <w:p w14:paraId="21CE3DF0">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急诊/择期比例统计。</w:t>
            </w:r>
          </w:p>
          <w:p w14:paraId="002ADEE8">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麻醉方式比例统计。</w:t>
            </w:r>
          </w:p>
          <w:p w14:paraId="07B61F09">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麻醉后取消率统计。</w:t>
            </w:r>
          </w:p>
          <w:p w14:paraId="70D14AF3">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非计划转入ICU率统计。</w:t>
            </w:r>
          </w:p>
          <w:p w14:paraId="28353AB7">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严重过敏反应统计。</w:t>
            </w:r>
          </w:p>
          <w:p w14:paraId="1D1A3F25">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自体血使用记录。</w:t>
            </w:r>
          </w:p>
          <w:p w14:paraId="12F53EEB">
            <w:pPr>
              <w:pStyle w:val="168"/>
              <w:pageBreakBefore w:val="0"/>
              <w:widowControl w:val="0"/>
              <w:numPr>
                <w:ilvl w:val="0"/>
                <w:numId w:val="34"/>
              </w:numPr>
              <w:tabs>
                <w:tab w:val="left" w:pos="459"/>
              </w:tabs>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以上报表要求自动生成，无需术后手动补录报表。报表要求支持自定义时间或者按月统计,并根据需要支持线图、饼图、柱图显示。</w:t>
            </w:r>
          </w:p>
        </w:tc>
      </w:tr>
      <w:tr w14:paraId="40F82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4C1DC112">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2C84BBA9">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术后随访模块功能</w:t>
            </w:r>
          </w:p>
        </w:tc>
        <w:tc>
          <w:tcPr>
            <w:tcW w:w="6875" w:type="dxa"/>
          </w:tcPr>
          <w:p w14:paraId="7B20205A">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非计划二次插管。</w:t>
            </w:r>
          </w:p>
          <w:p w14:paraId="1A86145C">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24小时内死亡率。</w:t>
            </w:r>
          </w:p>
          <w:p w14:paraId="24C7C40C">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24小时内心跳骤停率。</w:t>
            </w:r>
          </w:p>
          <w:p w14:paraId="1EB8C3CC">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椎管麻醉严重并发症记录。</w:t>
            </w:r>
          </w:p>
          <w:p w14:paraId="313C2EDE">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中心静脉穿刺严重并发症记录。</w:t>
            </w:r>
          </w:p>
          <w:p w14:paraId="6CDED89B">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拔管后声音嘶哑记录。</w:t>
            </w:r>
          </w:p>
          <w:p w14:paraId="3C28A9F8">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新发昏迷记录。</w:t>
            </w:r>
          </w:p>
          <w:p w14:paraId="7F0D6C14">
            <w:pPr>
              <w:pStyle w:val="168"/>
              <w:pageBreakBefore w:val="0"/>
              <w:widowControl w:val="0"/>
              <w:numPr>
                <w:ilvl w:val="0"/>
                <w:numId w:val="35"/>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以上模块自定义时间或者按月统计，饼图显示。</w:t>
            </w:r>
          </w:p>
        </w:tc>
      </w:tr>
      <w:tr w14:paraId="4915A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7" w:type="dxa"/>
            <w:vMerge w:val="continue"/>
            <w:vAlign w:val="center"/>
          </w:tcPr>
          <w:p w14:paraId="0AB2C2F0">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p>
        </w:tc>
        <w:tc>
          <w:tcPr>
            <w:tcW w:w="1913" w:type="dxa"/>
            <w:vAlign w:val="center"/>
          </w:tcPr>
          <w:p w14:paraId="06ED28CA">
            <w:pPr>
              <w:pageBreakBefore w:val="0"/>
              <w:kinsoku/>
              <w:wordWrap/>
              <w:overflowPunct/>
              <w:topLinePunct w:val="0"/>
              <w:autoSpaceDE/>
              <w:autoSpaceDN/>
              <w:bidi w:val="0"/>
              <w:adjustRightInd w:val="0"/>
              <w:snapToGrid w:val="0"/>
              <w:spacing w:line="24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其他功能</w:t>
            </w:r>
          </w:p>
        </w:tc>
        <w:tc>
          <w:tcPr>
            <w:tcW w:w="6875" w:type="dxa"/>
          </w:tcPr>
          <w:p w14:paraId="53427851">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重点麻醉方式统计。</w:t>
            </w:r>
          </w:p>
          <w:p w14:paraId="380E9856">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输血情况统计。</w:t>
            </w:r>
          </w:p>
          <w:p w14:paraId="22F6FE13">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麻醉变更记录。</w:t>
            </w:r>
          </w:p>
          <w:p w14:paraId="787DE8C7">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分科手术统计。</w:t>
            </w:r>
          </w:p>
          <w:p w14:paraId="11581E3F">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手术事件查询。</w:t>
            </w:r>
          </w:p>
          <w:p w14:paraId="7C8D056A">
            <w:pPr>
              <w:pStyle w:val="168"/>
              <w:pageBreakBefore w:val="0"/>
              <w:widowControl w:val="0"/>
              <w:numPr>
                <w:ilvl w:val="0"/>
                <w:numId w:val="36"/>
              </w:numPr>
              <w:kinsoku/>
              <w:wordWrap/>
              <w:overflowPunct/>
              <w:topLinePunct w:val="0"/>
              <w:autoSpaceDE/>
              <w:autoSpaceDN/>
              <w:bidi w:val="0"/>
              <w:adjustRightInd w:val="0"/>
              <w:snapToGrid w:val="0"/>
              <w:ind w:left="0" w:firstLine="0"/>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系统为全结构化系统,所有事件可以通过本功能按时间段查询统计</w:t>
            </w:r>
          </w:p>
        </w:tc>
      </w:tr>
    </w:tbl>
    <w:p w14:paraId="1D9D4DE2">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1.25</w:t>
      </w:r>
      <w:r>
        <w:rPr>
          <w:rFonts w:hint="eastAsia" w:ascii="宋体" w:hAnsi="宋体" w:eastAsia="宋体" w:cs="宋体"/>
          <w:color w:val="000000" w:themeColor="text1"/>
          <w:sz w:val="24"/>
          <w:szCs w:val="24"/>
          <w14:textFill>
            <w14:solidFill>
              <w14:schemeClr w14:val="tx1"/>
            </w14:solidFill>
          </w14:textFill>
        </w:rPr>
        <w:t>电子病历评级知识库（临床辅助知识库CDSS）</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36C19B7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检查、检验类知识库</w:t>
      </w:r>
    </w:p>
    <w:p w14:paraId="3C74E457">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支持检查、检验类知识库。</w:t>
      </w:r>
    </w:p>
    <w:p w14:paraId="6B68B079">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西医、中医诊断类知识库</w:t>
      </w:r>
    </w:p>
    <w:p w14:paraId="2A470E1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支持西医、中医诊断类知识库。</w:t>
      </w:r>
    </w:p>
    <w:p w14:paraId="02F547A1">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药品类（西药、中药）知识库</w:t>
      </w:r>
    </w:p>
    <w:p w14:paraId="16C99DD8">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支持药品类（西药、中药）知识库。</w:t>
      </w:r>
    </w:p>
    <w:p w14:paraId="4FB91D58">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治疗类知识库</w:t>
      </w:r>
    </w:p>
    <w:p w14:paraId="0860322C">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支持临床治疗类知识库。</w:t>
      </w:r>
    </w:p>
    <w:bookmarkEnd w:id="25"/>
    <w:p w14:paraId="02016A0A">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1.26</w:t>
      </w:r>
      <w:r>
        <w:rPr>
          <w:rFonts w:hint="eastAsia" w:ascii="宋体" w:hAnsi="宋体" w:eastAsia="宋体" w:cs="宋体"/>
          <w:color w:val="000000" w:themeColor="text1"/>
          <w:sz w:val="24"/>
          <w:szCs w:val="24"/>
          <w14:textFill>
            <w14:solidFill>
              <w14:schemeClr w14:val="tx1"/>
            </w14:solidFill>
          </w14:textFill>
        </w:rPr>
        <w:t>移动患者服务系统</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0B4DA94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1）具备微信平台，患者可以通过微信查询费用信息、检验结果信息、预约挂号和移动支付等功能。</w:t>
      </w:r>
    </w:p>
    <w:p w14:paraId="3D639948">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2）对未来一周或当月门诊科室排班进行查询、预约、挂号并获取就诊号，就诊日凭就诊号直接到科室就诊。</w:t>
      </w:r>
    </w:p>
    <w:p w14:paraId="30FC282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3）支付普通门诊和专家门诊过程中的预约挂号诊疗费。</w:t>
      </w:r>
    </w:p>
    <w:p w14:paraId="549C4165">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4）查看预约及挂号的时间、科室、专家、来源（如手机、自助、网站、窗口等）等信息，根据预约信息撤销或确认挂号。</w:t>
      </w:r>
    </w:p>
    <w:p w14:paraId="09859D8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5）查看医院面向患者的公告信息。</w:t>
      </w:r>
    </w:p>
    <w:p w14:paraId="65F82139">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6）查看近三个月的检查记录，及每次检查的时间、项目、检查结果等信息。</w:t>
      </w:r>
    </w:p>
    <w:p w14:paraId="7B1F6CDB">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7）查看医院简介、专长学科、医院荣誉、医院设施等概要信息。</w:t>
      </w:r>
    </w:p>
    <w:p w14:paraId="7FA01600">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8）提供我的位置到医院的最佳路线，可显示汽车、公交、步行等方式的切换。</w:t>
      </w:r>
    </w:p>
    <w:p w14:paraId="3B78F55D">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9）科室列表及科室荣誉、科室骨干、擅长等介绍。</w:t>
      </w:r>
    </w:p>
    <w:p w14:paraId="2A69B1E6">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10）患者根据自身病情选择症状，系统依据知识库给出建议就诊科室信息供患者参考。</w:t>
      </w:r>
    </w:p>
    <w:p w14:paraId="33DA987A">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11）患者对于就医过程进行评价，医院收集并分析满意度信息；可以支持多问卷模板。</w:t>
      </w:r>
    </w:p>
    <w:p w14:paraId="64184494">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12）注册账户的信息维护、密码管理、登陆管理等。</w:t>
      </w:r>
    </w:p>
    <w:p w14:paraId="120BCDD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13）支持线上医保。</w:t>
      </w:r>
    </w:p>
    <w:p w14:paraId="69E37B8D">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1.27</w:t>
      </w:r>
      <w:r>
        <w:rPr>
          <w:rFonts w:hint="eastAsia" w:ascii="宋体" w:hAnsi="宋体" w:eastAsia="宋体" w:cs="宋体"/>
          <w:color w:val="000000" w:themeColor="text1"/>
          <w:sz w:val="24"/>
          <w:szCs w:val="24"/>
          <w14:textFill>
            <w14:solidFill>
              <w14:schemeClr w14:val="tx1"/>
            </w14:solidFill>
          </w14:textFill>
        </w:rPr>
        <w:t>统一支付平台</w:t>
      </w:r>
      <w:r>
        <w:rPr>
          <w:rFonts w:hint="eastAsia" w:ascii="宋体" w:hAnsi="宋体" w:eastAsia="宋体" w:cs="宋体"/>
          <w:color w:val="000000" w:themeColor="text1"/>
          <w:sz w:val="24"/>
          <w:szCs w:val="24"/>
          <w:lang w:val="en-US" w:eastAsia="zh-CN"/>
          <w14:textFill>
            <w14:solidFill>
              <w14:schemeClr w14:val="tx1"/>
            </w14:solidFill>
          </w14:textFill>
        </w:rPr>
        <w:t xml:space="preserve">  1套</w:t>
      </w:r>
    </w:p>
    <w:p w14:paraId="5707CC01">
      <w:pPr>
        <w:pageBreakBefore w:val="0"/>
        <w:kinsoku/>
        <w:wordWrap/>
        <w:overflowPunct/>
        <w:topLinePunct w:val="0"/>
        <w:autoSpaceDE/>
        <w:autoSpaceDN/>
        <w:bidi w:val="0"/>
        <w:snapToGrid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统一支付、移动支付、医保自助结算、窗口移动支付、医后付、订单追踪、退费审核、定制化报表。</w:t>
      </w:r>
    </w:p>
    <w:p w14:paraId="4769F9C4">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1.28</w:t>
      </w:r>
      <w:r>
        <w:rPr>
          <w:rFonts w:hint="eastAsia" w:ascii="宋体" w:hAnsi="宋体" w:eastAsia="宋体" w:cs="宋体"/>
          <w:color w:val="000000" w:themeColor="text1"/>
          <w:sz w:val="24"/>
          <w:szCs w:val="24"/>
          <w14:textFill>
            <w14:solidFill>
              <w14:schemeClr w14:val="tx1"/>
            </w14:solidFill>
          </w14:textFill>
        </w:rPr>
        <w:t>超融合系统</w:t>
      </w:r>
    </w:p>
    <w:tbl>
      <w:tblPr>
        <w:tblStyle w:val="46"/>
        <w:tblW w:w="9316"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4"/>
        <w:gridCol w:w="5792"/>
        <w:gridCol w:w="840"/>
        <w:gridCol w:w="840"/>
      </w:tblGrid>
      <w:tr w14:paraId="4D4C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4" w:type="dxa"/>
            <w:shd w:val="clear" w:color="auto" w:fill="auto"/>
            <w:vAlign w:val="center"/>
          </w:tcPr>
          <w:p w14:paraId="479FAFEA">
            <w:pPr>
              <w:pageBreakBefore w:val="0"/>
              <w:kinsoku/>
              <w:wordWrap/>
              <w:overflowPunct/>
              <w:topLinePunct w:val="0"/>
              <w:autoSpaceDE/>
              <w:autoSpaceDN/>
              <w:bidi w:val="0"/>
              <w:spacing w:line="240" w:lineRule="auto"/>
              <w:ind w:lef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名称</w:t>
            </w:r>
          </w:p>
        </w:tc>
        <w:tc>
          <w:tcPr>
            <w:tcW w:w="5792" w:type="dxa"/>
            <w:shd w:val="clear" w:color="auto" w:fill="auto"/>
            <w:vAlign w:val="center"/>
          </w:tcPr>
          <w:p w14:paraId="542C8A6F">
            <w:pPr>
              <w:pageBreakBefore w:val="0"/>
              <w:kinsoku/>
              <w:wordWrap/>
              <w:overflowPunct/>
              <w:topLinePunct w:val="0"/>
              <w:autoSpaceDE/>
              <w:autoSpaceDN/>
              <w:bidi w:val="0"/>
              <w:spacing w:line="240" w:lineRule="auto"/>
              <w:ind w:lef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参数要求</w:t>
            </w:r>
          </w:p>
        </w:tc>
        <w:tc>
          <w:tcPr>
            <w:tcW w:w="840" w:type="dxa"/>
            <w:shd w:val="clear" w:color="auto" w:fill="auto"/>
            <w:vAlign w:val="center"/>
          </w:tcPr>
          <w:p w14:paraId="4BC7A9C7">
            <w:pPr>
              <w:pageBreakBefore w:val="0"/>
              <w:kinsoku/>
              <w:wordWrap/>
              <w:overflowPunct/>
              <w:topLinePunct w:val="0"/>
              <w:autoSpaceDE/>
              <w:autoSpaceDN/>
              <w:bidi w:val="0"/>
              <w:spacing w:line="240" w:lineRule="auto"/>
              <w:ind w:lef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数量</w:t>
            </w:r>
          </w:p>
        </w:tc>
        <w:tc>
          <w:tcPr>
            <w:tcW w:w="840" w:type="dxa"/>
            <w:shd w:val="clear" w:color="auto" w:fill="auto"/>
            <w:vAlign w:val="center"/>
          </w:tcPr>
          <w:p w14:paraId="45C90EE2">
            <w:pPr>
              <w:pageBreakBefore w:val="0"/>
              <w:kinsoku/>
              <w:wordWrap/>
              <w:overflowPunct/>
              <w:topLinePunct w:val="0"/>
              <w:autoSpaceDE/>
              <w:autoSpaceDN/>
              <w:bidi w:val="0"/>
              <w:spacing w:line="240" w:lineRule="auto"/>
              <w:ind w:left="0"/>
              <w:jc w:val="center"/>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单位</w:t>
            </w:r>
          </w:p>
        </w:tc>
      </w:tr>
      <w:tr w14:paraId="6C9C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4" w:type="dxa"/>
            <w:shd w:val="clear" w:color="auto" w:fill="auto"/>
            <w:vAlign w:val="center"/>
          </w:tcPr>
          <w:p w14:paraId="1876B1DA">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超融合一体机</w:t>
            </w:r>
          </w:p>
        </w:tc>
        <w:tc>
          <w:tcPr>
            <w:tcW w:w="5792" w:type="dxa"/>
            <w:shd w:val="clear" w:color="auto" w:fill="auto"/>
            <w:vAlign w:val="center"/>
          </w:tcPr>
          <w:p w14:paraId="74F1F12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1.处理器：≥2*intel(R) Xeon(R) Gold 5318Y （2.10GHZ，24C）；</w:t>
            </w:r>
          </w:p>
          <w:p w14:paraId="00BE056C">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2.内存容量：≥384G DDR4；</w:t>
            </w:r>
          </w:p>
          <w:p w14:paraId="14E2AB0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3.配备≥2块240G SSD系统盘；</w:t>
            </w:r>
          </w:p>
          <w:p w14:paraId="56C7ADCA">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4.配置≥2块960G SSD缓存盘；</w:t>
            </w:r>
          </w:p>
          <w:p w14:paraId="456314F5">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5.配置≥4块6T SATA硬盘；</w:t>
            </w:r>
          </w:p>
          <w:p w14:paraId="0527D2D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6.接口:千兆电口≥4，万兆光口≥2;</w:t>
            </w:r>
          </w:p>
          <w:p w14:paraId="1C91BB2F">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7.电源:配置1+1冗余电源。</w:t>
            </w:r>
          </w:p>
        </w:tc>
        <w:tc>
          <w:tcPr>
            <w:tcW w:w="840" w:type="dxa"/>
            <w:shd w:val="clear" w:color="auto" w:fill="auto"/>
            <w:vAlign w:val="center"/>
          </w:tcPr>
          <w:p w14:paraId="1DC6BC6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p>
        </w:tc>
        <w:tc>
          <w:tcPr>
            <w:tcW w:w="840" w:type="dxa"/>
            <w:shd w:val="clear" w:color="auto" w:fill="auto"/>
            <w:vAlign w:val="center"/>
          </w:tcPr>
          <w:p w14:paraId="6C35F249">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台</w:t>
            </w:r>
          </w:p>
        </w:tc>
      </w:tr>
      <w:tr w14:paraId="0E57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4" w:type="dxa"/>
            <w:shd w:val="clear" w:color="auto" w:fill="auto"/>
            <w:vAlign w:val="center"/>
          </w:tcPr>
          <w:p w14:paraId="56E1CF93">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计算虚拟化</w:t>
            </w:r>
          </w:p>
        </w:tc>
        <w:tc>
          <w:tcPr>
            <w:tcW w:w="5792" w:type="dxa"/>
            <w:shd w:val="clear" w:color="auto" w:fill="auto"/>
            <w:vAlign w:val="center"/>
          </w:tcPr>
          <w:p w14:paraId="2FE52CD2">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1.1个CPU计算服务器虚拟化软件授权； </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2.虚拟机可以实现物理机的全部功能，如具有自己的资源（内存、CPU、网卡、存储），可以指定单独的MAC地址等；</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3.支持自动收集所有的相关的组件的日志，告警，提供告警合并和日志审计功能；</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4.支持在线的带存储的虚拟机迁移功能，可以在不停机状态下和非共享存储的环境中，实现虚拟机在集群内的不同物理机上热迁移，保障业务连续性；</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5.支持集群的系统备份，通过备份集群的系统和业务数据，保证当控制节点或数据库故障时，可以通过备份数据进行恢复；</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6.为保障用户核心业务的稳定性，产品支持虚拟机资源告警项，支持虚拟机CPU利用率、内存利用率的指标告警；</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7.支持点击回收站中的还原按钮，还原回收站列表指定项，可恢复10天内已删除的虚拟机，可以查看回收站列表项信息，包括名称、描述、存储和删除时间和保留时间；</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8.支持平台中的集群资源环境一键检测，能够对系统运行状态、硬件健康等进行检测。</w:t>
            </w:r>
          </w:p>
        </w:tc>
        <w:tc>
          <w:tcPr>
            <w:tcW w:w="840" w:type="dxa"/>
            <w:shd w:val="clear" w:color="auto" w:fill="auto"/>
            <w:vAlign w:val="center"/>
          </w:tcPr>
          <w:p w14:paraId="05F535C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w:t>
            </w:r>
          </w:p>
        </w:tc>
        <w:tc>
          <w:tcPr>
            <w:tcW w:w="840" w:type="dxa"/>
            <w:shd w:val="clear" w:color="auto" w:fill="auto"/>
            <w:vAlign w:val="center"/>
          </w:tcPr>
          <w:p w14:paraId="2B1CE3B1">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套</w:t>
            </w:r>
          </w:p>
        </w:tc>
      </w:tr>
      <w:tr w14:paraId="18C5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4" w:type="dxa"/>
            <w:shd w:val="clear" w:color="auto" w:fill="auto"/>
            <w:vAlign w:val="center"/>
          </w:tcPr>
          <w:p w14:paraId="5A52B85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存储虚拟化</w:t>
            </w:r>
          </w:p>
        </w:tc>
        <w:tc>
          <w:tcPr>
            <w:tcW w:w="5792" w:type="dxa"/>
            <w:shd w:val="clear" w:color="auto" w:fill="auto"/>
            <w:vAlign w:val="center"/>
          </w:tcPr>
          <w:p w14:paraId="3276F3B7">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 xml:space="preserve">1.1个CPU网络虚拟化软件授权； </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2.为满足用户使用IPv6地址的需求，支持为虚拟机配置IPv6地址，并可通过IPv6地址访问该业务；</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3.可以支持手动指定虚拟路由器运行在固定的物理主机上，可以自动将虚拟路由器规划到高性能和高吞吐的物理主机上；</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4.支持创建分布式虚拟防火墙，基于虚拟机构建安全防火墙，当虚拟机在不同的物理节点之间迁移时，安全策略随之移动。</w:t>
            </w:r>
            <w:r>
              <w:rPr>
                <w:rFonts w:hint="eastAsia" w:ascii="宋体" w:hAnsi="宋体" w:eastAsia="宋体" w:cs="宋体"/>
                <w:color w:val="000000" w:themeColor="text1"/>
                <w:kern w:val="0"/>
                <w:sz w:val="24"/>
                <w:szCs w:val="24"/>
                <w14:textFill>
                  <w14:solidFill>
                    <w14:schemeClr w14:val="tx1"/>
                  </w14:solidFill>
                </w14:textFill>
              </w:rPr>
              <w:br w:type="textWrapping"/>
            </w:r>
            <w:r>
              <w:rPr>
                <w:rFonts w:hint="eastAsia" w:ascii="宋体" w:hAnsi="宋体" w:eastAsia="宋体" w:cs="宋体"/>
                <w:color w:val="000000" w:themeColor="text1"/>
                <w:kern w:val="0"/>
                <w:sz w:val="24"/>
                <w:szCs w:val="24"/>
                <w14:textFill>
                  <w14:solidFill>
                    <w14:schemeClr w14:val="tx1"/>
                  </w14:solidFill>
                </w14:textFill>
              </w:rPr>
              <w:t>5.在管理平台上可以通过拖拽连线完成网络拓扑的构建，可以在网络拓扑页面通过功能键实现虚拟网络连接、开启和关闭等操作。</w:t>
            </w:r>
          </w:p>
        </w:tc>
        <w:tc>
          <w:tcPr>
            <w:tcW w:w="840" w:type="dxa"/>
            <w:shd w:val="clear" w:color="auto" w:fill="auto"/>
            <w:vAlign w:val="center"/>
          </w:tcPr>
          <w:p w14:paraId="187094F7">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8</w:t>
            </w:r>
          </w:p>
        </w:tc>
        <w:tc>
          <w:tcPr>
            <w:tcW w:w="840" w:type="dxa"/>
            <w:shd w:val="clear" w:color="auto" w:fill="auto"/>
            <w:vAlign w:val="center"/>
          </w:tcPr>
          <w:p w14:paraId="320F8745">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套</w:t>
            </w:r>
          </w:p>
        </w:tc>
      </w:tr>
      <w:tr w14:paraId="1A5B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44" w:type="dxa"/>
            <w:shd w:val="clear" w:color="auto" w:fill="auto"/>
            <w:vAlign w:val="center"/>
          </w:tcPr>
          <w:p w14:paraId="0896646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存储交换机</w:t>
            </w:r>
          </w:p>
        </w:tc>
        <w:tc>
          <w:tcPr>
            <w:tcW w:w="5792" w:type="dxa"/>
            <w:shd w:val="clear" w:color="auto" w:fill="auto"/>
            <w:vAlign w:val="center"/>
          </w:tcPr>
          <w:p w14:paraId="24798D43">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1、万兆光口≥12个；千兆电口≥12个；</w:t>
            </w:r>
          </w:p>
          <w:p w14:paraId="662CFE3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2、交换性能≥1.28Tbps/12.8Tbps，包转发率≥480Mpps；</w:t>
            </w:r>
          </w:p>
          <w:p w14:paraId="672214CB">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3、整机功耗≤60W；支持双交流电源1+1冗余（非热插拔）；</w:t>
            </w:r>
          </w:p>
          <w:p w14:paraId="2184972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4、支持MAC地址≥32K，支持4K个VLAN；</w:t>
            </w:r>
          </w:p>
          <w:p w14:paraId="76A759C1">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5、支持IGMP v1/v2/v3 Snooping；</w:t>
            </w:r>
          </w:p>
          <w:p w14:paraId="0C957E36">
            <w:pPr>
              <w:pageBreakBefore w:val="0"/>
              <w:kinsoku/>
              <w:wordWrap/>
              <w:overflowPunct/>
              <w:topLinePunct w:val="0"/>
              <w:autoSpaceDE/>
              <w:autoSpaceDN/>
              <w:bidi w:val="0"/>
              <w:spacing w:line="240" w:lineRule="auto"/>
              <w:ind w:left="0"/>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6、支持STP、RSTP、MSTP协议；</w:t>
            </w:r>
          </w:p>
        </w:tc>
        <w:tc>
          <w:tcPr>
            <w:tcW w:w="840" w:type="dxa"/>
            <w:shd w:val="clear" w:color="auto" w:fill="auto"/>
            <w:vAlign w:val="center"/>
          </w:tcPr>
          <w:p w14:paraId="5E178E18">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p>
        </w:tc>
        <w:tc>
          <w:tcPr>
            <w:tcW w:w="840" w:type="dxa"/>
            <w:shd w:val="clear" w:color="auto" w:fill="auto"/>
            <w:vAlign w:val="center"/>
          </w:tcPr>
          <w:p w14:paraId="48B31C90">
            <w:pPr>
              <w:pageBreakBefore w:val="0"/>
              <w:kinsoku/>
              <w:wordWrap/>
              <w:overflowPunct/>
              <w:topLinePunct w:val="0"/>
              <w:autoSpaceDE/>
              <w:autoSpaceDN/>
              <w:bidi w:val="0"/>
              <w:spacing w:line="240" w:lineRule="auto"/>
              <w:ind w:left="0"/>
              <w:jc w:val="center"/>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台</w:t>
            </w:r>
          </w:p>
        </w:tc>
      </w:tr>
    </w:tbl>
    <w:p w14:paraId="48D948F5">
      <w:pPr>
        <w:pageBreakBefore w:val="0"/>
        <w:kinsoku/>
        <w:wordWrap/>
        <w:overflowPunct/>
        <w:topLinePunct w:val="0"/>
        <w:autoSpaceDE/>
        <w:autoSpaceDN/>
        <w:bidi w:val="0"/>
        <w:snapToGrid w:val="0"/>
        <w:ind w:left="0"/>
        <w:rPr>
          <w:rFonts w:hint="eastAsia" w:ascii="宋体" w:hAnsi="宋体" w:eastAsia="宋体" w:cs="宋体"/>
          <w:color w:val="000000" w:themeColor="text1"/>
          <w:sz w:val="24"/>
          <w:szCs w:val="24"/>
          <w14:textFill>
            <w14:solidFill>
              <w14:schemeClr w14:val="tx1"/>
            </w14:solidFill>
          </w14:textFill>
        </w:rPr>
      </w:pPr>
    </w:p>
    <w:bookmarkEnd w:id="1"/>
    <w:bookmarkEnd w:id="2"/>
    <w:bookmarkEnd w:id="3"/>
    <w:p w14:paraId="231C2310">
      <w:pPr>
        <w:pStyle w:val="5"/>
        <w:pageBreakBefore w:val="0"/>
        <w:numPr>
          <w:numId w:val="0"/>
        </w:numPr>
        <w:kinsoku/>
        <w:wordWrap/>
        <w:overflowPunct/>
        <w:topLinePunct w:val="0"/>
        <w:autoSpaceDE/>
        <w:autoSpaceDN/>
        <w:bidi w:val="0"/>
        <w:snapToGrid w:val="0"/>
        <w:spacing w:before="0" w:after="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1.29</w:t>
      </w:r>
      <w:r>
        <w:rPr>
          <w:rFonts w:hint="eastAsia" w:ascii="宋体" w:hAnsi="宋体" w:eastAsia="宋体" w:cs="宋体"/>
          <w:color w:val="000000" w:themeColor="text1"/>
          <w:sz w:val="24"/>
          <w:szCs w:val="24"/>
          <w14:textFill>
            <w14:solidFill>
              <w14:schemeClr w14:val="tx1"/>
            </w14:solidFill>
          </w14:textFill>
        </w:rPr>
        <w:t>配套硬件</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p>
    <w:p w14:paraId="1A8582A5">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42U服务器机柜</w:t>
      </w:r>
      <w:r>
        <w:rPr>
          <w:rFonts w:hint="eastAsia" w:ascii="宋体" w:hAnsi="宋体" w:eastAsia="宋体" w:cs="宋体"/>
          <w:color w:val="000000" w:themeColor="text1"/>
          <w:sz w:val="24"/>
          <w:szCs w:val="24"/>
          <w:lang w:val="en-US" w:eastAsia="zh-CN"/>
          <w14:textFill>
            <w14:solidFill>
              <w14:schemeClr w14:val="tx1"/>
            </w14:solidFill>
          </w14:textFill>
        </w:rPr>
        <w:t xml:space="preserve">  2台</w:t>
      </w:r>
    </w:p>
    <w:p w14:paraId="3C2D5E87">
      <w:pPr>
        <w:pStyle w:val="102"/>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42U服务器机柜</w:t>
      </w:r>
    </w:p>
    <w:p w14:paraId="0EF1B150">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KVM切换器</w:t>
      </w:r>
      <w:r>
        <w:rPr>
          <w:rFonts w:hint="eastAsia" w:ascii="宋体" w:hAnsi="宋体" w:eastAsia="宋体" w:cs="宋体"/>
          <w:color w:val="000000" w:themeColor="text1"/>
          <w:sz w:val="24"/>
          <w:szCs w:val="24"/>
          <w:lang w:val="en-US" w:eastAsia="zh-CN"/>
          <w14:textFill>
            <w14:solidFill>
              <w14:schemeClr w14:val="tx1"/>
            </w14:solidFill>
          </w14:textFill>
        </w:rPr>
        <w:t xml:space="preserve">   1个</w:t>
      </w:r>
    </w:p>
    <w:p w14:paraId="40B0F072">
      <w:pPr>
        <w:pStyle w:val="102"/>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KVM切换器</w:t>
      </w:r>
    </w:p>
    <w:p w14:paraId="1B53A5D6">
      <w:pPr>
        <w:pStyle w:val="109"/>
        <w:pageBreakBefore w:val="0"/>
        <w:kinsoku/>
        <w:wordWrap/>
        <w:overflowPunct/>
        <w:topLinePunct w:val="0"/>
        <w:autoSpaceDE/>
        <w:autoSpaceDN/>
        <w:bidi w:val="0"/>
        <w:spacing w:before="0" w:beforeLines="0"/>
        <w:ind w:left="0"/>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20KV 2小时在线UPS</w:t>
      </w:r>
      <w:r>
        <w:rPr>
          <w:rFonts w:hint="eastAsia" w:ascii="宋体" w:hAnsi="宋体" w:eastAsia="宋体" w:cs="宋体"/>
          <w:color w:val="000000" w:themeColor="text1"/>
          <w:sz w:val="24"/>
          <w:szCs w:val="24"/>
          <w:lang w:val="en-US" w:eastAsia="zh-CN"/>
          <w14:textFill>
            <w14:solidFill>
              <w14:schemeClr w14:val="tx1"/>
            </w14:solidFill>
          </w14:textFill>
        </w:rPr>
        <w:t xml:space="preserve">  1台</w:t>
      </w:r>
    </w:p>
    <w:p w14:paraId="468D3B51">
      <w:pPr>
        <w:pStyle w:val="102"/>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20KV 2小时在线UPS</w:t>
      </w:r>
    </w:p>
    <w:p w14:paraId="463ABF08">
      <w:pPr>
        <w:pStyle w:val="102"/>
        <w:pageBreakBefore w:val="0"/>
        <w:kinsoku/>
        <w:wordWrap/>
        <w:overflowPunct/>
        <w:topLinePunct w:val="0"/>
        <w:autoSpaceDE/>
        <w:autoSpaceDN/>
        <w:bidi w:val="0"/>
        <w:ind w:left="0" w:firstLine="480"/>
        <w:rPr>
          <w:rFonts w:hint="eastAsia" w:ascii="宋体" w:hAnsi="宋体" w:eastAsia="宋体" w:cs="宋体"/>
          <w:color w:val="000000" w:themeColor="text1"/>
          <w:sz w:val="24"/>
          <w:szCs w:val="24"/>
          <w14:textFill>
            <w14:solidFill>
              <w14:schemeClr w14:val="tx1"/>
            </w14:solidFill>
          </w14:textFill>
        </w:rPr>
      </w:pPr>
    </w:p>
    <w:p w14:paraId="7461427B">
      <w:pPr>
        <w:pStyle w:val="125"/>
        <w:pageBreakBefore w:val="0"/>
        <w:kinsoku/>
        <w:wordWrap/>
        <w:overflowPunct/>
        <w:topLinePunct w:val="0"/>
        <w:autoSpaceDE/>
        <w:autoSpaceDN/>
        <w:bidi w:val="0"/>
        <w:ind w:left="0" w:firstLine="488"/>
        <w:rPr>
          <w:rFonts w:hint="eastAsia" w:ascii="宋体" w:hAnsi="宋体" w:eastAsia="宋体" w:cs="宋体"/>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86"/>
    <w:family w:val="auto"/>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Franklin Gothic Medium Cond">
    <w:altName w:val="Arial"/>
    <w:panose1 w:val="020B0606030402020204"/>
    <w:charset w:val="00"/>
    <w:family w:val="swiss"/>
    <w:pitch w:val="default"/>
    <w:sig w:usb0="00000000" w:usb1="00000000" w:usb2="00000000" w:usb3="00000000" w:csb0="0000009F" w:csb1="00000000"/>
  </w:font>
  <w:font w:name="Book Antiqua">
    <w:altName w:val="Georgia"/>
    <w:panose1 w:val="02040602050305030304"/>
    <w:charset w:val="00"/>
    <w:family w:val="roman"/>
    <w:pitch w:val="default"/>
    <w:sig w:usb0="00000000" w:usb1="00000000" w:usb2="00000000" w:usb3="00000000" w:csb0="0000009F" w:csb1="00000000"/>
  </w:font>
  <w:font w:name="Georgia">
    <w:panose1 w:val="02040502050405020303"/>
    <w:charset w:val="00"/>
    <w:family w:val="auto"/>
    <w:pitch w:val="default"/>
    <w:sig w:usb0="00000287" w:usb1="00000000" w:usb2="00000000" w:usb3="00000000" w:csb0="2000009F" w:csb1="00000000"/>
  </w:font>
  <w:font w:name="Arial Unicode MS">
    <w:altName w:val="宋体"/>
    <w:panose1 w:val="020B0604020202020204"/>
    <w:charset w:val="86"/>
    <w:family w:val="swiss"/>
    <w:pitch w:val="default"/>
    <w:sig w:usb0="00000000" w:usb1="00000000" w:usb2="0000003F" w:usb3="00000000" w:csb0="003F01FF" w:csb1="00000000"/>
  </w:font>
  <w:font w:name="华文细黑">
    <w:altName w:val="微软雅黑"/>
    <w:panose1 w:val="02010600040101010101"/>
    <w:charset w:val="86"/>
    <w:family w:val="auto"/>
    <w:pitch w:val="default"/>
    <w:sig w:usb0="00000000" w:usb1="00000000" w:usb2="00000000" w:usb3="00000000" w:csb0="0004009F" w:csb1="DFD70000"/>
  </w:font>
  <w:font w:name="Arial (W1)">
    <w:altName w:val="Arial"/>
    <w:panose1 w:val="00000000000000000000"/>
    <w:charset w:val="00"/>
    <w:family w:val="swiss"/>
    <w:pitch w:val="default"/>
    <w:sig w:usb0="00000000" w:usb1="00000000" w:usb2="00000008" w:usb3="00000000" w:csb0="000001FF" w:csb1="00000000"/>
  </w:font>
  <w:font w:name="仿宋">
    <w:panose1 w:val="02010609060101010101"/>
    <w:charset w:val="86"/>
    <w:family w:val="modern"/>
    <w:pitch w:val="default"/>
    <w:sig w:usb0="800002BF" w:usb1="38CF7CFA" w:usb2="00000016" w:usb3="00000000" w:csb0="00040001" w:csb1="00000000"/>
  </w:font>
  <w:font w:name="STHeiti Light">
    <w:altName w:val="宋体"/>
    <w:panose1 w:val="00000000000000000000"/>
    <w:charset w:val="86"/>
    <w:family w:val="auto"/>
    <w:pitch w:val="default"/>
    <w:sig w:usb0="00000000" w:usb1="00000000" w:usb2="00000000" w:usb3="00000000" w:csb0="0004009F" w:csb1="DFD70000"/>
  </w:font>
  <w:font w:name="STHeiti Regular">
    <w:altName w:val="宋体"/>
    <w:panose1 w:val="00000000000000000000"/>
    <w:charset w:val="86"/>
    <w:family w:val="auto"/>
    <w:pitch w:val="default"/>
    <w:sig w:usb0="00000000" w:usb1="00000000" w:usb2="00000000" w:usb3="00000000" w:csb0="0004009F" w:csb1="DFD70000"/>
  </w:font>
  <w:font w:name="方正仿宋_GB2312">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ind w:left="900" w:hanging="420"/>
      </w:pPr>
      <w:rPr>
        <w:rFonts w:hint="eastAsia"/>
      </w:rPr>
    </w:lvl>
    <w:lvl w:ilvl="1" w:tentative="0">
      <w:start w:val="1"/>
      <w:numFmt w:val="lowerLetter"/>
      <w:pStyle w:val="288"/>
      <w:lvlText w:val="%2)"/>
      <w:lvlJc w:val="left"/>
      <w:pPr>
        <w:ind w:left="1320" w:hanging="420"/>
      </w:pPr>
    </w:lvl>
    <w:lvl w:ilvl="2" w:tentative="0">
      <w:start w:val="1"/>
      <w:numFmt w:val="lowerRoman"/>
      <w:pStyle w:val="290"/>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pStyle w:val="289"/>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0000008"/>
    <w:multiLevelType w:val="multilevel"/>
    <w:tmpl w:val="00000008"/>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09"/>
    <w:multiLevelType w:val="multilevel"/>
    <w:tmpl w:val="00000009"/>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A"/>
    <w:multiLevelType w:val="multilevel"/>
    <w:tmpl w:val="0000000A"/>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0000000B"/>
    <w:multiLevelType w:val="multilevel"/>
    <w:tmpl w:val="0000000B"/>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0C"/>
    <w:multiLevelType w:val="multilevel"/>
    <w:tmpl w:val="0000000C"/>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000000E"/>
    <w:multiLevelType w:val="multilevel"/>
    <w:tmpl w:val="0000000E"/>
    <w:lvl w:ilvl="0" w:tentative="0">
      <w:start w:val="1"/>
      <w:numFmt w:val="decimal"/>
      <w:suff w:val="nothing"/>
      <w:lvlText w:val="%1、"/>
      <w:lvlJc w:val="left"/>
      <w:pPr>
        <w:ind w:left="790" w:hanging="360"/>
      </w:pPr>
      <w:rPr>
        <w:rFonts w:hint="default"/>
      </w:rPr>
    </w:lvl>
    <w:lvl w:ilvl="1" w:tentative="0">
      <w:start w:val="1"/>
      <w:numFmt w:val="lowerLetter"/>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7">
    <w:nsid w:val="062A18E0"/>
    <w:multiLevelType w:val="multilevel"/>
    <w:tmpl w:val="062A18E0"/>
    <w:lvl w:ilvl="0" w:tentative="0">
      <w:start w:val="1"/>
      <w:numFmt w:val="decimalEnclosedCircle"/>
      <w:pStyle w:val="20"/>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0B475D87"/>
    <w:multiLevelType w:val="multilevel"/>
    <w:tmpl w:val="0B475D87"/>
    <w:lvl w:ilvl="0" w:tentative="0">
      <w:start w:val="1"/>
      <w:numFmt w:val="bullet"/>
      <w:pStyle w:val="278"/>
      <w:lvlText w:val=""/>
      <w:lvlJc w:val="left"/>
      <w:pPr>
        <w:tabs>
          <w:tab w:val="left" w:pos="980"/>
        </w:tabs>
        <w:ind w:left="980" w:hanging="420"/>
      </w:pPr>
      <w:rPr>
        <w:rFonts w:hint="default" w:ascii="Wingdings" w:hAnsi="Wingdings"/>
        <w:sz w:val="24"/>
      </w:rPr>
    </w:lvl>
    <w:lvl w:ilvl="1" w:tentative="0">
      <w:start w:val="1"/>
      <w:numFmt w:val="bullet"/>
      <w:lvlText w:val=""/>
      <w:lvlJc w:val="left"/>
      <w:pPr>
        <w:tabs>
          <w:tab w:val="left" w:pos="1400"/>
        </w:tabs>
        <w:ind w:left="1400" w:hanging="420"/>
      </w:pPr>
      <w:rPr>
        <w:rFonts w:hint="default" w:ascii="Wingdings" w:hAnsi="Wingdings"/>
        <w:sz w:val="28"/>
        <w:szCs w:val="28"/>
      </w:rPr>
    </w:lvl>
    <w:lvl w:ilvl="2" w:tentative="0">
      <w:start w:val="1"/>
      <w:numFmt w:val="bullet"/>
      <w:lvlText w:val=""/>
      <w:lvlJc w:val="left"/>
      <w:pPr>
        <w:tabs>
          <w:tab w:val="left" w:pos="1820"/>
        </w:tabs>
        <w:ind w:left="1820" w:hanging="420"/>
      </w:pPr>
      <w:rPr>
        <w:rFonts w:hint="default" w:ascii="Wingdings" w:hAnsi="Wingdings"/>
      </w:rPr>
    </w:lvl>
    <w:lvl w:ilvl="3" w:tentative="0">
      <w:start w:val="1"/>
      <w:numFmt w:val="bullet"/>
      <w:lvlText w:val=""/>
      <w:lvlJc w:val="left"/>
      <w:pPr>
        <w:tabs>
          <w:tab w:val="left" w:pos="2240"/>
        </w:tabs>
        <w:ind w:left="2240" w:hanging="420"/>
      </w:pPr>
      <w:rPr>
        <w:rFonts w:hint="default" w:ascii="Wingdings" w:hAnsi="Wingdings"/>
      </w:rPr>
    </w:lvl>
    <w:lvl w:ilvl="4" w:tentative="0">
      <w:start w:val="1"/>
      <w:numFmt w:val="bullet"/>
      <w:lvlText w:val=""/>
      <w:lvlJc w:val="left"/>
      <w:pPr>
        <w:tabs>
          <w:tab w:val="left" w:pos="2660"/>
        </w:tabs>
        <w:ind w:left="2660" w:hanging="420"/>
      </w:pPr>
      <w:rPr>
        <w:rFonts w:hint="default" w:ascii="Wingdings" w:hAnsi="Wingdings"/>
      </w:rPr>
    </w:lvl>
    <w:lvl w:ilvl="5" w:tentative="0">
      <w:start w:val="1"/>
      <w:numFmt w:val="bullet"/>
      <w:lvlText w:val=""/>
      <w:lvlJc w:val="left"/>
      <w:pPr>
        <w:tabs>
          <w:tab w:val="left" w:pos="3080"/>
        </w:tabs>
        <w:ind w:left="3080" w:hanging="420"/>
      </w:pPr>
      <w:rPr>
        <w:rFonts w:hint="default" w:ascii="Wingdings" w:hAnsi="Wingdings"/>
      </w:rPr>
    </w:lvl>
    <w:lvl w:ilvl="6" w:tentative="0">
      <w:start w:val="1"/>
      <w:numFmt w:val="bullet"/>
      <w:lvlText w:val=""/>
      <w:lvlJc w:val="left"/>
      <w:pPr>
        <w:tabs>
          <w:tab w:val="left" w:pos="3500"/>
        </w:tabs>
        <w:ind w:left="3500" w:hanging="420"/>
      </w:pPr>
      <w:rPr>
        <w:rFonts w:hint="default" w:ascii="Wingdings" w:hAnsi="Wingdings"/>
      </w:rPr>
    </w:lvl>
    <w:lvl w:ilvl="7" w:tentative="0">
      <w:start w:val="1"/>
      <w:numFmt w:val="bullet"/>
      <w:lvlText w:val=""/>
      <w:lvlJc w:val="left"/>
      <w:pPr>
        <w:tabs>
          <w:tab w:val="left" w:pos="3920"/>
        </w:tabs>
        <w:ind w:left="3920" w:hanging="420"/>
      </w:pPr>
      <w:rPr>
        <w:rFonts w:hint="default" w:ascii="Wingdings" w:hAnsi="Wingdings"/>
      </w:rPr>
    </w:lvl>
    <w:lvl w:ilvl="8" w:tentative="0">
      <w:start w:val="1"/>
      <w:numFmt w:val="bullet"/>
      <w:lvlText w:val=""/>
      <w:lvlJc w:val="left"/>
      <w:pPr>
        <w:tabs>
          <w:tab w:val="left" w:pos="4340"/>
        </w:tabs>
        <w:ind w:left="4340" w:hanging="420"/>
      </w:pPr>
      <w:rPr>
        <w:rFonts w:hint="default" w:ascii="Wingdings" w:hAnsi="Wingdings"/>
      </w:rPr>
    </w:lvl>
  </w:abstractNum>
  <w:abstractNum w:abstractNumId="9">
    <w:nsid w:val="10CE5BE9"/>
    <w:multiLevelType w:val="multilevel"/>
    <w:tmpl w:val="10CE5BE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112B6024"/>
    <w:multiLevelType w:val="multilevel"/>
    <w:tmpl w:val="112B602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6C838E9"/>
    <w:multiLevelType w:val="multilevel"/>
    <w:tmpl w:val="16C838E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717015D"/>
    <w:multiLevelType w:val="multilevel"/>
    <w:tmpl w:val="1717015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1772130C"/>
    <w:multiLevelType w:val="multilevel"/>
    <w:tmpl w:val="1772130C"/>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1AD87410"/>
    <w:multiLevelType w:val="multilevel"/>
    <w:tmpl w:val="1AD87410"/>
    <w:lvl w:ilvl="0" w:tentative="0">
      <w:start w:val="1"/>
      <w:numFmt w:val="decimal"/>
      <w:pStyle w:val="256"/>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5">
    <w:nsid w:val="1B16473F"/>
    <w:multiLevelType w:val="multilevel"/>
    <w:tmpl w:val="1B16473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1B2F01D5"/>
    <w:multiLevelType w:val="multilevel"/>
    <w:tmpl w:val="1B2F01D5"/>
    <w:lvl w:ilvl="0" w:tentative="0">
      <w:start w:val="1"/>
      <w:numFmt w:val="chineseCountingThousand"/>
      <w:pStyle w:val="242"/>
      <w:suff w:val="nothing"/>
      <w:lvlText w:val="第%1章"/>
      <w:lvlJc w:val="left"/>
      <w:pPr>
        <w:ind w:left="0" w:firstLine="0"/>
      </w:pPr>
      <w:rPr>
        <w:rFonts w:hint="default"/>
      </w:rPr>
    </w:lvl>
    <w:lvl w:ilvl="1" w:tentative="0">
      <w:start w:val="1"/>
      <w:numFmt w:val="decimal"/>
      <w:pStyle w:val="243"/>
      <w:lvlText w:val="%2."/>
      <w:lvlJc w:val="left"/>
      <w:pPr>
        <w:ind w:left="420" w:hanging="420"/>
      </w:pPr>
    </w:lvl>
    <w:lvl w:ilvl="2" w:tentative="0">
      <w:start w:val="1"/>
      <w:numFmt w:val="decimal"/>
      <w:lvlText w:val="%3."/>
      <w:lvlJc w:val="left"/>
      <w:pPr>
        <w:ind w:left="420" w:hanging="42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17">
    <w:nsid w:val="257245F3"/>
    <w:multiLevelType w:val="singleLevel"/>
    <w:tmpl w:val="257245F3"/>
    <w:lvl w:ilvl="0" w:tentative="0">
      <w:start w:val="1"/>
      <w:numFmt w:val="decimal"/>
      <w:pStyle w:val="274"/>
      <w:lvlText w:val="（%1）"/>
      <w:lvlJc w:val="left"/>
      <w:pPr>
        <w:ind w:left="420" w:hanging="420"/>
      </w:pPr>
    </w:lvl>
  </w:abstractNum>
  <w:abstractNum w:abstractNumId="18">
    <w:nsid w:val="2BCD2178"/>
    <w:multiLevelType w:val="multilevel"/>
    <w:tmpl w:val="2BCD2178"/>
    <w:lvl w:ilvl="0" w:tentative="0">
      <w:start w:val="1"/>
      <w:numFmt w:val="bullet"/>
      <w:pStyle w:val="13"/>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9">
    <w:nsid w:val="2C4463C1"/>
    <w:multiLevelType w:val="multilevel"/>
    <w:tmpl w:val="2C4463C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0171DD5"/>
    <w:multiLevelType w:val="multilevel"/>
    <w:tmpl w:val="30171DD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35716C48"/>
    <w:multiLevelType w:val="multilevel"/>
    <w:tmpl w:val="35716C4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36581D55"/>
    <w:multiLevelType w:val="multilevel"/>
    <w:tmpl w:val="36581D55"/>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8B11BEB"/>
    <w:multiLevelType w:val="multilevel"/>
    <w:tmpl w:val="38B11BEB"/>
    <w:lvl w:ilvl="0" w:tentative="0">
      <w:start w:val="1"/>
      <w:numFmt w:val="decimal"/>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b/>
      </w:rPr>
    </w:lvl>
    <w:lvl w:ilvl="5" w:tentative="0">
      <w:start w:val="1"/>
      <w:numFmt w:val="decimal"/>
      <w:pStyle w:val="7"/>
      <w:lvlText w:val="%1.%2.%3.%4.%5.%6"/>
      <w:lvlJc w:val="left"/>
      <w:pPr>
        <w:ind w:left="1152" w:hanging="1152"/>
      </w:pPr>
      <w:rPr>
        <w:rFonts w:hint="eastAsia"/>
        <w:b/>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24">
    <w:nsid w:val="3C456434"/>
    <w:multiLevelType w:val="multilevel"/>
    <w:tmpl w:val="3C456434"/>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5">
    <w:nsid w:val="439F6849"/>
    <w:multiLevelType w:val="multilevel"/>
    <w:tmpl w:val="439F684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50E77056"/>
    <w:multiLevelType w:val="multilevel"/>
    <w:tmpl w:val="50E77056"/>
    <w:lvl w:ilvl="0" w:tentative="0">
      <w:start w:val="1"/>
      <w:numFmt w:val="chineseCountingThousand"/>
      <w:suff w:val="nothing"/>
      <w:lvlText w:val="第%1章"/>
      <w:lvlJc w:val="left"/>
      <w:pPr>
        <w:ind w:left="0" w:firstLine="0"/>
      </w:pPr>
      <w:rPr>
        <w:rFonts w:hint="default"/>
      </w:rPr>
    </w:lvl>
    <w:lvl w:ilvl="1" w:tentative="0">
      <w:start w:val="1"/>
      <w:numFmt w:val="decimal"/>
      <w:pStyle w:val="267"/>
      <w:lvlText w:val="%2."/>
      <w:lvlJc w:val="left"/>
      <w:pPr>
        <w:ind w:left="420" w:hanging="42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27">
    <w:nsid w:val="52CF2559"/>
    <w:multiLevelType w:val="multilevel"/>
    <w:tmpl w:val="52CF2559"/>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5A46047F"/>
    <w:multiLevelType w:val="multilevel"/>
    <w:tmpl w:val="5A46047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5ADB5DCF"/>
    <w:multiLevelType w:val="multilevel"/>
    <w:tmpl w:val="5ADB5DC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D6C47D8"/>
    <w:multiLevelType w:val="multilevel"/>
    <w:tmpl w:val="5D6C47D8"/>
    <w:lvl w:ilvl="0" w:tentative="0">
      <w:start w:val="1"/>
      <w:numFmt w:val="chineseCountingThousand"/>
      <w:pStyle w:val="232"/>
      <w:suff w:val="nothing"/>
      <w:lvlText w:val="第%1章"/>
      <w:lvlJc w:val="left"/>
      <w:pPr>
        <w:ind w:left="0" w:firstLine="0"/>
      </w:pPr>
      <w:rPr>
        <w:rFonts w:hint="default"/>
      </w:rPr>
    </w:lvl>
    <w:lvl w:ilvl="1" w:tentative="0">
      <w:start w:val="1"/>
      <w:numFmt w:val="decimal"/>
      <w:lvlText w:val="%2."/>
      <w:lvlJc w:val="left"/>
      <w:pPr>
        <w:ind w:left="420" w:hanging="420"/>
      </w:pPr>
    </w:lvl>
    <w:lvl w:ilvl="2" w:tentative="0">
      <w:start w:val="1"/>
      <w:numFmt w:val="lowerRoman"/>
      <w:lvlText w:val="%3."/>
      <w:lvlJc w:val="right"/>
      <w:pPr>
        <w:ind w:left="420" w:hanging="42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abstractNum w:abstractNumId="31">
    <w:nsid w:val="5F410C73"/>
    <w:multiLevelType w:val="multilevel"/>
    <w:tmpl w:val="5F410C73"/>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5FF33EA7"/>
    <w:multiLevelType w:val="multilevel"/>
    <w:tmpl w:val="5FF33EA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69D43378"/>
    <w:multiLevelType w:val="multilevel"/>
    <w:tmpl w:val="69D43378"/>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6AF76329"/>
    <w:multiLevelType w:val="multilevel"/>
    <w:tmpl w:val="6AF76329"/>
    <w:lvl w:ilvl="0" w:tentative="0">
      <w:start w:val="1"/>
      <w:numFmt w:val="decimal"/>
      <w:pStyle w:val="225"/>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5">
    <w:nsid w:val="7B3622B1"/>
    <w:multiLevelType w:val="multilevel"/>
    <w:tmpl w:val="7B3622B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3"/>
  </w:num>
  <w:num w:numId="2">
    <w:abstractNumId w:val="18"/>
  </w:num>
  <w:num w:numId="3">
    <w:abstractNumId w:val="7"/>
  </w:num>
  <w:num w:numId="4">
    <w:abstractNumId w:val="34"/>
  </w:num>
  <w:num w:numId="5">
    <w:abstractNumId w:val="30"/>
  </w:num>
  <w:num w:numId="6">
    <w:abstractNumId w:val="16"/>
  </w:num>
  <w:num w:numId="7">
    <w:abstractNumId w:val="14"/>
  </w:num>
  <w:num w:numId="8">
    <w:abstractNumId w:val="26"/>
  </w:num>
  <w:num w:numId="9">
    <w:abstractNumId w:val="17"/>
  </w:num>
  <w:num w:numId="10">
    <w:abstractNumId w:val="8"/>
  </w:num>
  <w:num w:numId="11">
    <w:abstractNumId w:val="0"/>
  </w:num>
  <w:num w:numId="12">
    <w:abstractNumId w:val="5"/>
  </w:num>
  <w:num w:numId="13">
    <w:abstractNumId w:val="6"/>
  </w:num>
  <w:num w:numId="14">
    <w:abstractNumId w:val="3"/>
  </w:num>
  <w:num w:numId="15">
    <w:abstractNumId w:val="4"/>
  </w:num>
  <w:num w:numId="16">
    <w:abstractNumId w:val="2"/>
  </w:num>
  <w:num w:numId="17">
    <w:abstractNumId w:val="1"/>
  </w:num>
  <w:num w:numId="18">
    <w:abstractNumId w:val="24"/>
  </w:num>
  <w:num w:numId="19">
    <w:abstractNumId w:val="12"/>
  </w:num>
  <w:num w:numId="20">
    <w:abstractNumId w:val="32"/>
  </w:num>
  <w:num w:numId="21">
    <w:abstractNumId w:val="29"/>
  </w:num>
  <w:num w:numId="22">
    <w:abstractNumId w:val="35"/>
  </w:num>
  <w:num w:numId="23">
    <w:abstractNumId w:val="9"/>
  </w:num>
  <w:num w:numId="24">
    <w:abstractNumId w:val="21"/>
  </w:num>
  <w:num w:numId="25">
    <w:abstractNumId w:val="31"/>
  </w:num>
  <w:num w:numId="26">
    <w:abstractNumId w:val="33"/>
  </w:num>
  <w:num w:numId="27">
    <w:abstractNumId w:val="22"/>
  </w:num>
  <w:num w:numId="28">
    <w:abstractNumId w:val="19"/>
  </w:num>
  <w:num w:numId="29">
    <w:abstractNumId w:val="15"/>
  </w:num>
  <w:num w:numId="30">
    <w:abstractNumId w:val="20"/>
  </w:num>
  <w:num w:numId="31">
    <w:abstractNumId w:val="25"/>
  </w:num>
  <w:num w:numId="32">
    <w:abstractNumId w:val="28"/>
  </w:num>
  <w:num w:numId="33">
    <w:abstractNumId w:val="11"/>
  </w:num>
  <w:num w:numId="34">
    <w:abstractNumId w:val="13"/>
  </w:num>
  <w:num w:numId="35">
    <w:abstractNumId w:val="27"/>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867"/>
    <w:rsid w:val="000263F9"/>
    <w:rsid w:val="0028573A"/>
    <w:rsid w:val="002D4B01"/>
    <w:rsid w:val="002E3D0C"/>
    <w:rsid w:val="004475FD"/>
    <w:rsid w:val="0049075A"/>
    <w:rsid w:val="005951AF"/>
    <w:rsid w:val="005D1965"/>
    <w:rsid w:val="007F68F7"/>
    <w:rsid w:val="00820372"/>
    <w:rsid w:val="00892D53"/>
    <w:rsid w:val="009A201C"/>
    <w:rsid w:val="00CE1867"/>
    <w:rsid w:val="00E46323"/>
    <w:rsid w:val="09AD0AEE"/>
    <w:rsid w:val="0B9C2483"/>
    <w:rsid w:val="11EC41D4"/>
    <w:rsid w:val="19D13C3F"/>
    <w:rsid w:val="1C520C22"/>
    <w:rsid w:val="1E8F302F"/>
    <w:rsid w:val="22E70614"/>
    <w:rsid w:val="23BC326A"/>
    <w:rsid w:val="2402396D"/>
    <w:rsid w:val="36C50230"/>
    <w:rsid w:val="42D31F27"/>
    <w:rsid w:val="4B321807"/>
    <w:rsid w:val="549B013E"/>
    <w:rsid w:val="5FF3C584"/>
    <w:rsid w:val="673F17B5"/>
    <w:rsid w:val="6D1725BF"/>
    <w:rsid w:val="702538BC"/>
    <w:rsid w:val="717F6C52"/>
    <w:rsid w:val="766D2232"/>
    <w:rsid w:val="7688642A"/>
    <w:rsid w:val="7B2C1BF9"/>
    <w:rsid w:val="7C6B34F2"/>
    <w:rsid w:val="7E68EDCF"/>
    <w:rsid w:val="7FDBD20C"/>
    <w:rsid w:val="B6956B8E"/>
    <w:rsid w:val="B9A97F14"/>
    <w:rsid w:val="DFF7DE30"/>
    <w:rsid w:val="E7B71A21"/>
    <w:rsid w:val="F3DF293F"/>
    <w:rsid w:val="FDAFD68F"/>
    <w:rsid w:val="FEBFD2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qFormat="1" w:uiPriority="0" w:semiHidden="0"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99" w:semiHidden="0"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qFormat="1" w:unhideWhenUsed="0" w:uiPriority="36" w:semiHidden="0"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等线" w:hAnsi="等线" w:eastAsia="等线" w:cs="Times New Roman"/>
      <w:kern w:val="2"/>
      <w:sz w:val="21"/>
      <w:szCs w:val="21"/>
      <w:lang w:val="en-US" w:eastAsia="zh-CN" w:bidi="ar-SA"/>
    </w:rPr>
  </w:style>
  <w:style w:type="paragraph" w:styleId="2">
    <w:name w:val="heading 1"/>
    <w:basedOn w:val="1"/>
    <w:next w:val="1"/>
    <w:link w:val="56"/>
    <w:qFormat/>
    <w:uiPriority w:val="0"/>
    <w:pPr>
      <w:keepNext/>
      <w:keepLines/>
      <w:pageBreakBefore/>
      <w:widowControl w:val="0"/>
      <w:numPr>
        <w:ilvl w:val="0"/>
        <w:numId w:val="1"/>
      </w:numPr>
      <w:tabs>
        <w:tab w:val="left" w:pos="1440"/>
      </w:tabs>
      <w:spacing w:before="480" w:after="360" w:line="240" w:lineRule="auto"/>
      <w:jc w:val="center"/>
      <w:outlineLvl w:val="0"/>
    </w:pPr>
    <w:rPr>
      <w:rFonts w:ascii="黑体" w:hAnsi="黑体" w:eastAsia="黑体"/>
      <w:b/>
      <w:bCs/>
      <w:color w:val="000000"/>
      <w:kern w:val="44"/>
      <w:sz w:val="32"/>
      <w:szCs w:val="32"/>
    </w:rPr>
  </w:style>
  <w:style w:type="paragraph" w:styleId="3">
    <w:name w:val="heading 2"/>
    <w:basedOn w:val="1"/>
    <w:next w:val="1"/>
    <w:link w:val="57"/>
    <w:qFormat/>
    <w:uiPriority w:val="0"/>
    <w:pPr>
      <w:keepNext/>
      <w:keepLines/>
      <w:widowControl w:val="0"/>
      <w:numPr>
        <w:ilvl w:val="1"/>
        <w:numId w:val="1"/>
      </w:numPr>
      <w:spacing w:before="120" w:after="120" w:line="240" w:lineRule="auto"/>
      <w:jc w:val="center"/>
      <w:outlineLvl w:val="1"/>
    </w:pPr>
    <w:rPr>
      <w:rFonts w:eastAsia="黑体"/>
      <w:b/>
      <w:bCs/>
      <w:sz w:val="28"/>
      <w:szCs w:val="32"/>
    </w:rPr>
  </w:style>
  <w:style w:type="paragraph" w:styleId="4">
    <w:name w:val="heading 3"/>
    <w:basedOn w:val="1"/>
    <w:next w:val="1"/>
    <w:link w:val="58"/>
    <w:qFormat/>
    <w:uiPriority w:val="0"/>
    <w:pPr>
      <w:keepNext/>
      <w:keepLines/>
      <w:widowControl w:val="0"/>
      <w:numPr>
        <w:ilvl w:val="2"/>
        <w:numId w:val="1"/>
      </w:numPr>
      <w:spacing w:before="240" w:after="120" w:line="240" w:lineRule="auto"/>
      <w:outlineLvl w:val="2"/>
    </w:pPr>
    <w:rPr>
      <w:rFonts w:eastAsia="黑体"/>
      <w:b/>
      <w:bCs/>
      <w:sz w:val="26"/>
      <w:szCs w:val="32"/>
    </w:rPr>
  </w:style>
  <w:style w:type="paragraph" w:styleId="5">
    <w:name w:val="heading 4"/>
    <w:basedOn w:val="1"/>
    <w:next w:val="1"/>
    <w:link w:val="59"/>
    <w:qFormat/>
    <w:uiPriority w:val="0"/>
    <w:pPr>
      <w:keepNext/>
      <w:keepLines/>
      <w:widowControl w:val="0"/>
      <w:numPr>
        <w:ilvl w:val="3"/>
        <w:numId w:val="1"/>
      </w:numPr>
      <w:spacing w:before="240" w:after="120" w:line="240" w:lineRule="auto"/>
      <w:jc w:val="both"/>
      <w:outlineLvl w:val="3"/>
    </w:pPr>
    <w:rPr>
      <w:rFonts w:eastAsia="黑体"/>
      <w:b/>
      <w:bCs/>
      <w:szCs w:val="28"/>
    </w:rPr>
  </w:style>
  <w:style w:type="paragraph" w:styleId="6">
    <w:name w:val="heading 5"/>
    <w:basedOn w:val="5"/>
    <w:next w:val="1"/>
    <w:link w:val="60"/>
    <w:qFormat/>
    <w:uiPriority w:val="0"/>
    <w:pPr>
      <w:numPr>
        <w:ilvl w:val="4"/>
      </w:numPr>
      <w:outlineLvl w:val="4"/>
    </w:pPr>
  </w:style>
  <w:style w:type="paragraph" w:styleId="7">
    <w:name w:val="heading 6"/>
    <w:basedOn w:val="1"/>
    <w:next w:val="1"/>
    <w:link w:val="61"/>
    <w:qFormat/>
    <w:uiPriority w:val="0"/>
    <w:pPr>
      <w:keepNext/>
      <w:keepLines/>
      <w:widowControl w:val="0"/>
      <w:numPr>
        <w:ilvl w:val="5"/>
        <w:numId w:val="1"/>
      </w:numPr>
      <w:spacing w:before="120" w:after="120"/>
      <w:jc w:val="both"/>
      <w:outlineLvl w:val="5"/>
    </w:pPr>
    <w:rPr>
      <w:rFonts w:eastAsia="等线 Light"/>
      <w:b/>
      <w:bCs/>
    </w:rPr>
  </w:style>
  <w:style w:type="paragraph" w:styleId="8">
    <w:name w:val="heading 7"/>
    <w:basedOn w:val="1"/>
    <w:next w:val="1"/>
    <w:link w:val="62"/>
    <w:qFormat/>
    <w:uiPriority w:val="0"/>
    <w:pPr>
      <w:keepNext/>
      <w:keepLines/>
      <w:widowControl w:val="0"/>
      <w:numPr>
        <w:ilvl w:val="6"/>
        <w:numId w:val="1"/>
      </w:numPr>
      <w:spacing w:before="240" w:after="64" w:line="317" w:lineRule="auto"/>
      <w:jc w:val="both"/>
      <w:outlineLvl w:val="6"/>
    </w:pPr>
    <w:rPr>
      <w:b/>
      <w:szCs w:val="22"/>
    </w:rPr>
  </w:style>
  <w:style w:type="paragraph" w:styleId="9">
    <w:name w:val="heading 8"/>
    <w:basedOn w:val="1"/>
    <w:next w:val="1"/>
    <w:link w:val="63"/>
    <w:qFormat/>
    <w:uiPriority w:val="9"/>
    <w:pPr>
      <w:keepNext/>
      <w:keepLines/>
      <w:widowControl w:val="0"/>
      <w:numPr>
        <w:ilvl w:val="7"/>
        <w:numId w:val="1"/>
      </w:numPr>
      <w:spacing w:before="240" w:after="64" w:line="317" w:lineRule="auto"/>
      <w:jc w:val="both"/>
      <w:outlineLvl w:val="7"/>
    </w:pPr>
    <w:rPr>
      <w:rFonts w:ascii="Arial" w:hAnsi="Arial" w:eastAsia="黑体"/>
      <w:szCs w:val="22"/>
    </w:rPr>
  </w:style>
  <w:style w:type="paragraph" w:styleId="10">
    <w:name w:val="heading 9"/>
    <w:basedOn w:val="1"/>
    <w:next w:val="1"/>
    <w:link w:val="64"/>
    <w:qFormat/>
    <w:uiPriority w:val="9"/>
    <w:pPr>
      <w:keepNext/>
      <w:keepLines/>
      <w:widowControl w:val="0"/>
      <w:numPr>
        <w:ilvl w:val="8"/>
        <w:numId w:val="1"/>
      </w:numPr>
      <w:spacing w:before="240" w:after="64" w:line="317" w:lineRule="auto"/>
      <w:jc w:val="both"/>
      <w:outlineLvl w:val="8"/>
    </w:pPr>
    <w:rPr>
      <w:rFonts w:ascii="Arial" w:hAnsi="Arial" w:eastAsia="黑体"/>
      <w:szCs w:val="22"/>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widowControl w:val="0"/>
      <w:spacing w:line="240" w:lineRule="auto"/>
      <w:ind w:left="2520" w:leftChars="1200"/>
      <w:jc w:val="both"/>
    </w:pPr>
    <w:rPr>
      <w:rFonts w:asciiTheme="minorHAnsi" w:hAnsiTheme="minorHAnsi" w:eastAsiaTheme="minorEastAsia" w:cstheme="minorBidi"/>
      <w:szCs w:val="22"/>
    </w:rPr>
  </w:style>
  <w:style w:type="paragraph" w:styleId="12">
    <w:name w:val="List Bullet 4"/>
    <w:basedOn w:val="1"/>
    <w:qFormat/>
    <w:uiPriority w:val="36"/>
    <w:pPr>
      <w:tabs>
        <w:tab w:val="left" w:pos="1440"/>
      </w:tabs>
      <w:spacing w:line="240" w:lineRule="auto"/>
    </w:pPr>
    <w:rPr>
      <w:rFonts w:ascii="Times New Roman" w:hAnsi="Times New Roman" w:eastAsia="宋体"/>
      <w:kern w:val="0"/>
      <w:sz w:val="22"/>
      <w:szCs w:val="22"/>
      <w:lang w:eastAsia="en-US"/>
    </w:rPr>
  </w:style>
  <w:style w:type="paragraph" w:styleId="13">
    <w:name w:val="List Number"/>
    <w:basedOn w:val="1"/>
    <w:link w:val="66"/>
    <w:qFormat/>
    <w:uiPriority w:val="0"/>
    <w:pPr>
      <w:widowControl w:val="0"/>
      <w:numPr>
        <w:ilvl w:val="0"/>
        <w:numId w:val="2"/>
      </w:numPr>
      <w:tabs>
        <w:tab w:val="left" w:pos="360"/>
      </w:tabs>
      <w:ind w:firstLine="0"/>
      <w:jc w:val="both"/>
    </w:pPr>
    <w:rPr>
      <w:rFonts w:ascii="Arial" w:hAnsi="Arial"/>
      <w:sz w:val="24"/>
    </w:rPr>
  </w:style>
  <w:style w:type="paragraph" w:styleId="14">
    <w:name w:val="Normal Indent"/>
    <w:basedOn w:val="1"/>
    <w:qFormat/>
    <w:uiPriority w:val="0"/>
    <w:pPr>
      <w:ind w:firstLine="200" w:firstLineChars="200"/>
      <w:jc w:val="both"/>
    </w:pPr>
    <w:rPr>
      <w:rFonts w:ascii="Arial" w:hAnsi="Arial" w:eastAsia="宋体"/>
      <w:kern w:val="0"/>
      <w:sz w:val="24"/>
    </w:rPr>
  </w:style>
  <w:style w:type="paragraph" w:styleId="15">
    <w:name w:val="caption"/>
    <w:basedOn w:val="1"/>
    <w:next w:val="1"/>
    <w:link w:val="67"/>
    <w:qFormat/>
    <w:uiPriority w:val="0"/>
    <w:rPr>
      <w:rFonts w:ascii="Calibri Light" w:hAnsi="Calibri Light" w:eastAsia="黑体"/>
    </w:rPr>
  </w:style>
  <w:style w:type="paragraph" w:styleId="16">
    <w:name w:val="Document Map"/>
    <w:basedOn w:val="1"/>
    <w:link w:val="68"/>
    <w:qFormat/>
    <w:uiPriority w:val="0"/>
    <w:pPr>
      <w:shd w:val="clear" w:color="auto" w:fill="000080"/>
      <w:ind w:hanging="272" w:hangingChars="200"/>
      <w:jc w:val="both"/>
    </w:pPr>
    <w:rPr>
      <w:rFonts w:ascii="Calibri" w:hAnsi="Calibri" w:eastAsia="宋体"/>
      <w:sz w:val="24"/>
    </w:rPr>
  </w:style>
  <w:style w:type="paragraph" w:styleId="17">
    <w:name w:val="annotation text"/>
    <w:basedOn w:val="1"/>
    <w:link w:val="69"/>
    <w:unhideWhenUsed/>
    <w:qFormat/>
    <w:uiPriority w:val="0"/>
  </w:style>
  <w:style w:type="paragraph" w:styleId="18">
    <w:name w:val="Body Text"/>
    <w:basedOn w:val="1"/>
    <w:link w:val="72"/>
    <w:unhideWhenUsed/>
    <w:qFormat/>
    <w:uiPriority w:val="0"/>
    <w:pPr>
      <w:spacing w:after="120"/>
    </w:pPr>
  </w:style>
  <w:style w:type="paragraph" w:styleId="19">
    <w:name w:val="Body Text Indent"/>
    <w:basedOn w:val="1"/>
    <w:link w:val="73"/>
    <w:qFormat/>
    <w:uiPriority w:val="0"/>
    <w:pPr>
      <w:spacing w:after="120"/>
      <w:ind w:left="420" w:leftChars="200" w:hanging="272" w:hangingChars="200"/>
      <w:jc w:val="both"/>
    </w:pPr>
    <w:rPr>
      <w:rFonts w:ascii="Arial" w:hAnsi="Arial" w:eastAsia="宋体"/>
      <w:sz w:val="24"/>
      <w:szCs w:val="20"/>
    </w:rPr>
  </w:style>
  <w:style w:type="paragraph" w:styleId="20">
    <w:name w:val="List Number 3"/>
    <w:basedOn w:val="1"/>
    <w:qFormat/>
    <w:uiPriority w:val="0"/>
    <w:pPr>
      <w:numPr>
        <w:ilvl w:val="0"/>
        <w:numId w:val="3"/>
      </w:numPr>
      <w:tabs>
        <w:tab w:val="left" w:pos="1200"/>
      </w:tabs>
      <w:topLinePunct/>
      <w:adjustRightInd w:val="0"/>
      <w:snapToGrid w:val="0"/>
      <w:spacing w:before="160" w:after="160" w:line="240" w:lineRule="atLeast"/>
      <w:ind w:firstLine="0"/>
    </w:pPr>
    <w:rPr>
      <w:rFonts w:ascii="Times New Roman" w:hAnsi="Times New Roman" w:eastAsia="宋体" w:cs="Arial"/>
    </w:rPr>
  </w:style>
  <w:style w:type="paragraph" w:styleId="21">
    <w:name w:val="List Bullet 2"/>
    <w:basedOn w:val="1"/>
    <w:qFormat/>
    <w:uiPriority w:val="0"/>
    <w:pPr>
      <w:tabs>
        <w:tab w:val="left" w:pos="780"/>
      </w:tabs>
      <w:jc w:val="both"/>
    </w:pPr>
    <w:rPr>
      <w:rFonts w:ascii="Arial" w:hAnsi="Arial" w:eastAsia="宋体"/>
      <w:kern w:val="0"/>
      <w:sz w:val="24"/>
    </w:rPr>
  </w:style>
  <w:style w:type="paragraph" w:styleId="22">
    <w:name w:val="HTML Address"/>
    <w:basedOn w:val="1"/>
    <w:link w:val="74"/>
    <w:qFormat/>
    <w:uiPriority w:val="0"/>
    <w:pPr>
      <w:widowControl w:val="0"/>
      <w:autoSpaceDE w:val="0"/>
      <w:autoSpaceDN w:val="0"/>
      <w:adjustRightInd w:val="0"/>
    </w:pPr>
    <w:rPr>
      <w:rFonts w:ascii="Times New Roman" w:hAnsi="Times New Roman" w:eastAsia="宋体"/>
      <w:i/>
      <w:iCs/>
      <w:snapToGrid w:val="0"/>
      <w:kern w:val="0"/>
    </w:rPr>
  </w:style>
  <w:style w:type="paragraph" w:styleId="23">
    <w:name w:val="toc 5"/>
    <w:basedOn w:val="1"/>
    <w:next w:val="1"/>
    <w:autoRedefine/>
    <w:unhideWhenUsed/>
    <w:qFormat/>
    <w:uiPriority w:val="39"/>
    <w:pPr>
      <w:widowControl w:val="0"/>
      <w:spacing w:line="240" w:lineRule="auto"/>
      <w:ind w:left="1680" w:leftChars="800"/>
      <w:jc w:val="both"/>
    </w:pPr>
    <w:rPr>
      <w:rFonts w:asciiTheme="minorHAnsi" w:hAnsiTheme="minorHAnsi" w:eastAsiaTheme="minorEastAsia" w:cstheme="minorBidi"/>
      <w:szCs w:val="22"/>
    </w:rPr>
  </w:style>
  <w:style w:type="paragraph" w:styleId="24">
    <w:name w:val="toc 3"/>
    <w:basedOn w:val="1"/>
    <w:next w:val="1"/>
    <w:autoRedefine/>
    <w:unhideWhenUsed/>
    <w:qFormat/>
    <w:uiPriority w:val="39"/>
    <w:pPr>
      <w:ind w:left="840" w:leftChars="400"/>
    </w:pPr>
  </w:style>
  <w:style w:type="paragraph" w:styleId="25">
    <w:name w:val="Plain Text"/>
    <w:basedOn w:val="1"/>
    <w:link w:val="77"/>
    <w:qFormat/>
    <w:uiPriority w:val="0"/>
    <w:pPr>
      <w:widowControl w:val="0"/>
      <w:spacing w:line="480" w:lineRule="exact"/>
      <w:ind w:firstLine="200" w:firstLineChars="200"/>
    </w:pPr>
    <w:rPr>
      <w:rFonts w:ascii="宋体" w:hAnsi="Courier New" w:eastAsia="楷体_GB2312"/>
      <w:sz w:val="28"/>
    </w:rPr>
  </w:style>
  <w:style w:type="paragraph" w:styleId="26">
    <w:name w:val="toc 8"/>
    <w:basedOn w:val="1"/>
    <w:next w:val="1"/>
    <w:autoRedefine/>
    <w:unhideWhenUsed/>
    <w:qFormat/>
    <w:uiPriority w:val="39"/>
    <w:pPr>
      <w:widowControl w:val="0"/>
      <w:spacing w:line="240" w:lineRule="auto"/>
      <w:ind w:left="2940" w:leftChars="1400"/>
      <w:jc w:val="both"/>
    </w:pPr>
    <w:rPr>
      <w:rFonts w:asciiTheme="minorHAnsi" w:hAnsiTheme="minorHAnsi" w:eastAsiaTheme="minorEastAsia" w:cstheme="minorBidi"/>
      <w:szCs w:val="22"/>
    </w:rPr>
  </w:style>
  <w:style w:type="paragraph" w:styleId="27">
    <w:name w:val="index 3"/>
    <w:basedOn w:val="1"/>
    <w:next w:val="1"/>
    <w:unhideWhenUsed/>
    <w:qFormat/>
    <w:uiPriority w:val="0"/>
    <w:pPr>
      <w:ind w:left="400" w:leftChars="400"/>
    </w:pPr>
  </w:style>
  <w:style w:type="paragraph" w:styleId="28">
    <w:name w:val="Date"/>
    <w:basedOn w:val="1"/>
    <w:next w:val="1"/>
    <w:link w:val="79"/>
    <w:qFormat/>
    <w:uiPriority w:val="0"/>
    <w:pPr>
      <w:widowControl w:val="0"/>
      <w:spacing w:line="240" w:lineRule="auto"/>
      <w:ind w:left="100" w:leftChars="2500"/>
      <w:jc w:val="both"/>
    </w:pPr>
    <w:rPr>
      <w:rFonts w:ascii="Times New Roman" w:hAnsi="Times New Roman" w:eastAsia="宋体"/>
      <w:szCs w:val="24"/>
    </w:rPr>
  </w:style>
  <w:style w:type="paragraph" w:styleId="29">
    <w:name w:val="Body Text Indent 2"/>
    <w:basedOn w:val="1"/>
    <w:link w:val="82"/>
    <w:unhideWhenUsed/>
    <w:qFormat/>
    <w:uiPriority w:val="0"/>
    <w:pPr>
      <w:spacing w:after="120" w:line="480" w:lineRule="auto"/>
      <w:ind w:left="420" w:leftChars="200"/>
    </w:pPr>
  </w:style>
  <w:style w:type="paragraph" w:styleId="30">
    <w:name w:val="Balloon Text"/>
    <w:basedOn w:val="1"/>
    <w:link w:val="83"/>
    <w:unhideWhenUsed/>
    <w:qFormat/>
    <w:uiPriority w:val="0"/>
    <w:pPr>
      <w:spacing w:line="240" w:lineRule="auto"/>
    </w:pPr>
    <w:rPr>
      <w:sz w:val="18"/>
      <w:szCs w:val="18"/>
    </w:rPr>
  </w:style>
  <w:style w:type="paragraph" w:styleId="31">
    <w:name w:val="footer"/>
    <w:basedOn w:val="1"/>
    <w:link w:val="84"/>
    <w:unhideWhenUsed/>
    <w:qFormat/>
    <w:uiPriority w:val="0"/>
    <w:pPr>
      <w:tabs>
        <w:tab w:val="center" w:pos="4153"/>
        <w:tab w:val="right" w:pos="8306"/>
      </w:tabs>
      <w:snapToGrid w:val="0"/>
      <w:spacing w:line="240" w:lineRule="auto"/>
    </w:pPr>
    <w:rPr>
      <w:sz w:val="18"/>
      <w:szCs w:val="18"/>
    </w:rPr>
  </w:style>
  <w:style w:type="paragraph" w:styleId="32">
    <w:name w:val="header"/>
    <w:basedOn w:val="1"/>
    <w:link w:val="85"/>
    <w:unhideWhenUsed/>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33">
    <w:name w:val="toc 1"/>
    <w:basedOn w:val="1"/>
    <w:next w:val="1"/>
    <w:autoRedefine/>
    <w:unhideWhenUsed/>
    <w:qFormat/>
    <w:uiPriority w:val="39"/>
  </w:style>
  <w:style w:type="paragraph" w:styleId="34">
    <w:name w:val="toc 4"/>
    <w:basedOn w:val="1"/>
    <w:next w:val="1"/>
    <w:autoRedefine/>
    <w:unhideWhenUsed/>
    <w:qFormat/>
    <w:uiPriority w:val="39"/>
    <w:pPr>
      <w:widowControl w:val="0"/>
      <w:spacing w:line="240" w:lineRule="auto"/>
      <w:ind w:left="1260" w:leftChars="600"/>
      <w:jc w:val="both"/>
    </w:pPr>
    <w:rPr>
      <w:rFonts w:asciiTheme="minorHAnsi" w:hAnsiTheme="minorHAnsi" w:eastAsiaTheme="minorEastAsia" w:cstheme="minorBidi"/>
      <w:szCs w:val="22"/>
    </w:rPr>
  </w:style>
  <w:style w:type="paragraph" w:styleId="35">
    <w:name w:val="Subtitle"/>
    <w:basedOn w:val="1"/>
    <w:next w:val="1"/>
    <w:link w:val="88"/>
    <w:qFormat/>
    <w:uiPriority w:val="0"/>
    <w:pPr>
      <w:spacing w:before="240" w:after="60" w:line="312" w:lineRule="auto"/>
      <w:jc w:val="center"/>
      <w:outlineLvl w:val="1"/>
    </w:pPr>
    <w:rPr>
      <w:rFonts w:ascii="Calibri Light" w:hAnsi="Calibri Light"/>
      <w:b/>
      <w:bCs/>
      <w:kern w:val="28"/>
      <w:sz w:val="32"/>
      <w:szCs w:val="32"/>
    </w:rPr>
  </w:style>
  <w:style w:type="paragraph" w:styleId="36">
    <w:name w:val="footnote text"/>
    <w:basedOn w:val="1"/>
    <w:link w:val="89"/>
    <w:unhideWhenUsed/>
    <w:qFormat/>
    <w:uiPriority w:val="99"/>
    <w:pPr>
      <w:spacing w:after="200" w:line="276" w:lineRule="auto"/>
    </w:pPr>
    <w:rPr>
      <w:rFonts w:ascii="Calibri" w:hAnsi="Calibri" w:eastAsia="宋体"/>
      <w:kern w:val="0"/>
      <w:sz w:val="20"/>
      <w:szCs w:val="20"/>
    </w:rPr>
  </w:style>
  <w:style w:type="paragraph" w:styleId="37">
    <w:name w:val="toc 6"/>
    <w:basedOn w:val="1"/>
    <w:next w:val="1"/>
    <w:autoRedefine/>
    <w:unhideWhenUsed/>
    <w:qFormat/>
    <w:uiPriority w:val="39"/>
    <w:pPr>
      <w:widowControl w:val="0"/>
      <w:spacing w:line="240" w:lineRule="auto"/>
      <w:ind w:left="2100" w:leftChars="1000"/>
      <w:jc w:val="both"/>
    </w:pPr>
    <w:rPr>
      <w:rFonts w:asciiTheme="minorHAnsi" w:hAnsiTheme="minorHAnsi" w:eastAsiaTheme="minorEastAsia" w:cstheme="minorBidi"/>
      <w:szCs w:val="22"/>
    </w:rPr>
  </w:style>
  <w:style w:type="paragraph" w:styleId="38">
    <w:name w:val="Body Text Indent 3"/>
    <w:basedOn w:val="1"/>
    <w:link w:val="91"/>
    <w:unhideWhenUsed/>
    <w:qFormat/>
    <w:uiPriority w:val="0"/>
    <w:pPr>
      <w:spacing w:after="120"/>
      <w:ind w:left="420" w:leftChars="200"/>
    </w:pPr>
    <w:rPr>
      <w:sz w:val="16"/>
      <w:szCs w:val="16"/>
    </w:rPr>
  </w:style>
  <w:style w:type="paragraph" w:styleId="39">
    <w:name w:val="table of figures"/>
    <w:basedOn w:val="1"/>
    <w:next w:val="1"/>
    <w:qFormat/>
    <w:uiPriority w:val="99"/>
    <w:pPr>
      <w:topLinePunct/>
      <w:adjustRightInd w:val="0"/>
      <w:snapToGrid w:val="0"/>
      <w:spacing w:before="160" w:afterLines="50" w:line="240" w:lineRule="atLeast"/>
      <w:ind w:left="300" w:leftChars="300"/>
    </w:pPr>
    <w:rPr>
      <w:rFonts w:ascii="Times New Roman" w:hAnsi="Times New Roman" w:eastAsia="宋体" w:cs="Arial"/>
      <w:sz w:val="20"/>
      <w:szCs w:val="20"/>
    </w:rPr>
  </w:style>
  <w:style w:type="paragraph" w:styleId="40">
    <w:name w:val="toc 2"/>
    <w:basedOn w:val="1"/>
    <w:next w:val="1"/>
    <w:autoRedefine/>
    <w:unhideWhenUsed/>
    <w:qFormat/>
    <w:uiPriority w:val="39"/>
    <w:pPr>
      <w:ind w:left="420" w:leftChars="200"/>
    </w:pPr>
  </w:style>
  <w:style w:type="paragraph" w:styleId="41">
    <w:name w:val="toc 9"/>
    <w:basedOn w:val="1"/>
    <w:next w:val="1"/>
    <w:autoRedefine/>
    <w:unhideWhenUsed/>
    <w:qFormat/>
    <w:uiPriority w:val="39"/>
    <w:pPr>
      <w:widowControl w:val="0"/>
      <w:spacing w:line="240" w:lineRule="auto"/>
      <w:ind w:left="3360" w:leftChars="1600"/>
      <w:jc w:val="both"/>
    </w:pPr>
    <w:rPr>
      <w:rFonts w:asciiTheme="minorHAnsi" w:hAnsiTheme="minorHAnsi" w:eastAsiaTheme="minorEastAsia" w:cstheme="minorBidi"/>
      <w:szCs w:val="22"/>
    </w:rPr>
  </w:style>
  <w:style w:type="paragraph" w:styleId="42">
    <w:name w:val="Normal (Web)"/>
    <w:basedOn w:val="1"/>
    <w:link w:val="94"/>
    <w:qFormat/>
    <w:uiPriority w:val="99"/>
    <w:pPr>
      <w:spacing w:before="100" w:beforeAutospacing="1" w:after="100" w:afterAutospacing="1" w:line="240" w:lineRule="auto"/>
    </w:pPr>
    <w:rPr>
      <w:rFonts w:ascii="宋体" w:hAnsi="宋体" w:cs="宋体"/>
      <w:sz w:val="24"/>
      <w:szCs w:val="24"/>
    </w:rPr>
  </w:style>
  <w:style w:type="paragraph" w:styleId="43">
    <w:name w:val="Title"/>
    <w:basedOn w:val="1"/>
    <w:next w:val="1"/>
    <w:link w:val="95"/>
    <w:qFormat/>
    <w:uiPriority w:val="0"/>
    <w:pPr>
      <w:spacing w:before="240" w:after="60"/>
      <w:jc w:val="center"/>
      <w:outlineLvl w:val="0"/>
    </w:pPr>
    <w:rPr>
      <w:rFonts w:ascii="Calibri Light" w:hAnsi="Calibri Light"/>
      <w:b/>
      <w:bCs/>
      <w:sz w:val="32"/>
      <w:szCs w:val="32"/>
    </w:rPr>
  </w:style>
  <w:style w:type="paragraph" w:styleId="44">
    <w:name w:val="annotation subject"/>
    <w:basedOn w:val="17"/>
    <w:next w:val="17"/>
    <w:link w:val="96"/>
    <w:unhideWhenUsed/>
    <w:qFormat/>
    <w:uiPriority w:val="0"/>
    <w:rPr>
      <w:b/>
      <w:bCs/>
    </w:rPr>
  </w:style>
  <w:style w:type="paragraph" w:styleId="45">
    <w:name w:val="Body Text First Indent 2"/>
    <w:basedOn w:val="19"/>
    <w:link w:val="283"/>
    <w:qFormat/>
    <w:uiPriority w:val="0"/>
    <w:pPr>
      <w:ind w:firstLine="420" w:firstLineChars="200"/>
      <w:jc w:val="left"/>
    </w:pPr>
    <w:rPr>
      <w:rFonts w:ascii="等线" w:hAnsi="等线" w:eastAsia="等线"/>
      <w:sz w:val="21"/>
      <w:szCs w:val="21"/>
    </w:rPr>
  </w:style>
  <w:style w:type="table" w:styleId="47">
    <w:name w:val="Table Grid"/>
    <w:basedOn w:val="4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800080"/>
      <w:u w:val="single"/>
    </w:rPr>
  </w:style>
  <w:style w:type="character" w:styleId="52">
    <w:name w:val="Emphasis"/>
    <w:qFormat/>
    <w:uiPriority w:val="0"/>
    <w:rPr>
      <w:i/>
      <w:iCs/>
    </w:rPr>
  </w:style>
  <w:style w:type="character" w:styleId="53">
    <w:name w:val="Hyperlink"/>
    <w:unhideWhenUsed/>
    <w:qFormat/>
    <w:uiPriority w:val="99"/>
    <w:rPr>
      <w:color w:val="0563C1"/>
      <w:u w:val="single"/>
    </w:rPr>
  </w:style>
  <w:style w:type="character" w:styleId="54">
    <w:name w:val="annotation reference"/>
    <w:unhideWhenUsed/>
    <w:qFormat/>
    <w:uiPriority w:val="0"/>
    <w:rPr>
      <w:sz w:val="21"/>
      <w:szCs w:val="21"/>
    </w:rPr>
  </w:style>
  <w:style w:type="character" w:styleId="55">
    <w:name w:val="footnote reference"/>
    <w:unhideWhenUsed/>
    <w:qFormat/>
    <w:uiPriority w:val="99"/>
    <w:rPr>
      <w:vertAlign w:val="superscript"/>
    </w:rPr>
  </w:style>
  <w:style w:type="character" w:customStyle="1" w:styleId="56">
    <w:name w:val="标题 1 字符"/>
    <w:basedOn w:val="48"/>
    <w:link w:val="2"/>
    <w:qFormat/>
    <w:uiPriority w:val="0"/>
    <w:rPr>
      <w:rFonts w:ascii="黑体" w:hAnsi="黑体" w:eastAsia="黑体" w:cs="Times New Roman"/>
      <w:b/>
      <w:bCs/>
      <w:color w:val="000000"/>
      <w:kern w:val="44"/>
      <w:sz w:val="32"/>
      <w:szCs w:val="32"/>
    </w:rPr>
  </w:style>
  <w:style w:type="character" w:customStyle="1" w:styleId="57">
    <w:name w:val="标题 2 字符"/>
    <w:basedOn w:val="48"/>
    <w:link w:val="3"/>
    <w:qFormat/>
    <w:uiPriority w:val="0"/>
    <w:rPr>
      <w:rFonts w:ascii="等线" w:hAnsi="等线" w:eastAsia="黑体" w:cs="Times New Roman"/>
      <w:b/>
      <w:bCs/>
      <w:sz w:val="28"/>
      <w:szCs w:val="32"/>
    </w:rPr>
  </w:style>
  <w:style w:type="character" w:customStyle="1" w:styleId="58">
    <w:name w:val="标题 3 字符"/>
    <w:basedOn w:val="48"/>
    <w:link w:val="4"/>
    <w:qFormat/>
    <w:uiPriority w:val="0"/>
    <w:rPr>
      <w:rFonts w:ascii="等线" w:hAnsi="等线" w:eastAsia="黑体" w:cs="Times New Roman"/>
      <w:b/>
      <w:bCs/>
      <w:sz w:val="26"/>
      <w:szCs w:val="32"/>
    </w:rPr>
  </w:style>
  <w:style w:type="character" w:customStyle="1" w:styleId="59">
    <w:name w:val="标题 4 字符"/>
    <w:basedOn w:val="48"/>
    <w:link w:val="5"/>
    <w:qFormat/>
    <w:uiPriority w:val="0"/>
    <w:rPr>
      <w:rFonts w:ascii="等线" w:hAnsi="等线" w:eastAsia="黑体" w:cs="Times New Roman"/>
      <w:b/>
      <w:bCs/>
      <w:szCs w:val="28"/>
    </w:rPr>
  </w:style>
  <w:style w:type="character" w:customStyle="1" w:styleId="60">
    <w:name w:val="标题 5 字符"/>
    <w:basedOn w:val="48"/>
    <w:link w:val="6"/>
    <w:qFormat/>
    <w:uiPriority w:val="0"/>
    <w:rPr>
      <w:rFonts w:ascii="等线" w:hAnsi="等线" w:eastAsia="黑体" w:cs="Times New Roman"/>
      <w:b/>
      <w:bCs/>
      <w:szCs w:val="28"/>
    </w:rPr>
  </w:style>
  <w:style w:type="character" w:customStyle="1" w:styleId="61">
    <w:name w:val="标题 6 字符"/>
    <w:basedOn w:val="48"/>
    <w:link w:val="7"/>
    <w:qFormat/>
    <w:uiPriority w:val="0"/>
    <w:rPr>
      <w:rFonts w:ascii="等线" w:hAnsi="等线" w:eastAsia="等线 Light" w:cs="Times New Roman"/>
      <w:b/>
      <w:bCs/>
      <w:szCs w:val="21"/>
    </w:rPr>
  </w:style>
  <w:style w:type="character" w:customStyle="1" w:styleId="62">
    <w:name w:val="标题 7 字符"/>
    <w:basedOn w:val="48"/>
    <w:link w:val="8"/>
    <w:qFormat/>
    <w:uiPriority w:val="0"/>
    <w:rPr>
      <w:rFonts w:ascii="等线" w:hAnsi="等线" w:eastAsia="等线" w:cs="Times New Roman"/>
      <w:b/>
    </w:rPr>
  </w:style>
  <w:style w:type="character" w:customStyle="1" w:styleId="63">
    <w:name w:val="标题 8 字符"/>
    <w:basedOn w:val="48"/>
    <w:link w:val="9"/>
    <w:qFormat/>
    <w:uiPriority w:val="9"/>
    <w:rPr>
      <w:rFonts w:ascii="Arial" w:hAnsi="Arial" w:eastAsia="黑体" w:cs="Times New Roman"/>
    </w:rPr>
  </w:style>
  <w:style w:type="character" w:customStyle="1" w:styleId="64">
    <w:name w:val="标题 9 字符"/>
    <w:basedOn w:val="48"/>
    <w:link w:val="10"/>
    <w:qFormat/>
    <w:uiPriority w:val="9"/>
    <w:rPr>
      <w:rFonts w:ascii="Arial" w:hAnsi="Arial" w:eastAsia="黑体" w:cs="Times New Roman"/>
    </w:rPr>
  </w:style>
  <w:style w:type="paragraph" w:customStyle="1" w:styleId="65">
    <w:name w:val="目录 71"/>
    <w:basedOn w:val="1"/>
    <w:next w:val="1"/>
    <w:unhideWhenUsed/>
    <w:qFormat/>
    <w:uiPriority w:val="39"/>
    <w:pPr>
      <w:ind w:left="1260" w:hanging="272" w:hangingChars="200"/>
    </w:pPr>
    <w:rPr>
      <w:rFonts w:ascii="Calibri" w:hAnsi="Calibri" w:eastAsia="宋体"/>
      <w:sz w:val="18"/>
      <w:szCs w:val="18"/>
    </w:rPr>
  </w:style>
  <w:style w:type="character" w:customStyle="1" w:styleId="66">
    <w:name w:val="列表编号 字符"/>
    <w:link w:val="13"/>
    <w:qFormat/>
    <w:uiPriority w:val="0"/>
    <w:rPr>
      <w:rFonts w:ascii="Arial" w:hAnsi="Arial" w:eastAsia="等线" w:cs="Times New Roman"/>
      <w:sz w:val="24"/>
      <w:szCs w:val="21"/>
    </w:rPr>
  </w:style>
  <w:style w:type="character" w:customStyle="1" w:styleId="67">
    <w:name w:val="题注 字符"/>
    <w:link w:val="15"/>
    <w:qFormat/>
    <w:uiPriority w:val="0"/>
    <w:rPr>
      <w:rFonts w:ascii="Calibri Light" w:hAnsi="Calibri Light" w:eastAsia="黑体" w:cs="Times New Roman"/>
      <w:szCs w:val="21"/>
    </w:rPr>
  </w:style>
  <w:style w:type="character" w:customStyle="1" w:styleId="68">
    <w:name w:val="文档结构图 字符"/>
    <w:basedOn w:val="48"/>
    <w:link w:val="16"/>
    <w:qFormat/>
    <w:uiPriority w:val="0"/>
    <w:rPr>
      <w:rFonts w:ascii="Calibri" w:hAnsi="Calibri" w:eastAsia="宋体" w:cs="Times New Roman"/>
      <w:sz w:val="24"/>
      <w:szCs w:val="21"/>
      <w:shd w:val="clear" w:color="auto" w:fill="000080"/>
    </w:rPr>
  </w:style>
  <w:style w:type="character" w:customStyle="1" w:styleId="69">
    <w:name w:val="批注文字 字符"/>
    <w:basedOn w:val="48"/>
    <w:link w:val="17"/>
    <w:qFormat/>
    <w:uiPriority w:val="0"/>
    <w:rPr>
      <w:rFonts w:ascii="等线" w:hAnsi="等线" w:eastAsia="等线" w:cs="Times New Roman"/>
      <w:szCs w:val="21"/>
    </w:rPr>
  </w:style>
  <w:style w:type="character" w:customStyle="1" w:styleId="70">
    <w:name w:val="正文文本 字符"/>
    <w:basedOn w:val="48"/>
    <w:link w:val="71"/>
    <w:qFormat/>
    <w:uiPriority w:val="0"/>
    <w:rPr>
      <w:rFonts w:ascii="等线" w:hAnsi="等线" w:eastAsia="等线" w:cs="Times New Roman"/>
      <w:szCs w:val="21"/>
    </w:rPr>
  </w:style>
  <w:style w:type="paragraph" w:customStyle="1" w:styleId="71">
    <w:name w:val="正文文本1"/>
    <w:basedOn w:val="1"/>
    <w:next w:val="18"/>
    <w:link w:val="70"/>
    <w:unhideWhenUsed/>
    <w:qFormat/>
    <w:uiPriority w:val="0"/>
    <w:pPr>
      <w:widowControl w:val="0"/>
      <w:spacing w:after="120"/>
      <w:jc w:val="both"/>
    </w:pPr>
  </w:style>
  <w:style w:type="character" w:customStyle="1" w:styleId="72">
    <w:name w:val="正文文本 字符1"/>
    <w:link w:val="18"/>
    <w:qFormat/>
    <w:uiPriority w:val="0"/>
    <w:rPr>
      <w:rFonts w:ascii="等线" w:hAnsi="等线" w:eastAsia="等线" w:cs="Times New Roman"/>
      <w:szCs w:val="21"/>
    </w:rPr>
  </w:style>
  <w:style w:type="character" w:customStyle="1" w:styleId="73">
    <w:name w:val="正文文本缩进 字符"/>
    <w:basedOn w:val="48"/>
    <w:link w:val="19"/>
    <w:qFormat/>
    <w:uiPriority w:val="0"/>
    <w:rPr>
      <w:rFonts w:ascii="Arial" w:hAnsi="Arial" w:eastAsia="宋体" w:cs="Times New Roman"/>
      <w:sz w:val="24"/>
      <w:szCs w:val="20"/>
    </w:rPr>
  </w:style>
  <w:style w:type="character" w:customStyle="1" w:styleId="74">
    <w:name w:val="HTML 地址 字符"/>
    <w:basedOn w:val="48"/>
    <w:link w:val="22"/>
    <w:qFormat/>
    <w:uiPriority w:val="0"/>
    <w:rPr>
      <w:rFonts w:ascii="Times New Roman" w:hAnsi="Times New Roman" w:eastAsia="宋体" w:cs="Times New Roman"/>
      <w:i/>
      <w:iCs/>
      <w:snapToGrid w:val="0"/>
      <w:kern w:val="0"/>
      <w:szCs w:val="21"/>
    </w:rPr>
  </w:style>
  <w:style w:type="paragraph" w:customStyle="1" w:styleId="75">
    <w:name w:val="目录 51"/>
    <w:basedOn w:val="1"/>
    <w:next w:val="1"/>
    <w:unhideWhenUsed/>
    <w:qFormat/>
    <w:uiPriority w:val="39"/>
    <w:pPr>
      <w:ind w:left="840" w:hanging="272" w:hangingChars="200"/>
    </w:pPr>
    <w:rPr>
      <w:rFonts w:ascii="Calibri" w:hAnsi="Calibri" w:eastAsia="宋体"/>
      <w:sz w:val="18"/>
      <w:szCs w:val="18"/>
    </w:rPr>
  </w:style>
  <w:style w:type="paragraph" w:customStyle="1" w:styleId="76">
    <w:name w:val="目录 31"/>
    <w:basedOn w:val="1"/>
    <w:next w:val="1"/>
    <w:unhideWhenUsed/>
    <w:qFormat/>
    <w:uiPriority w:val="39"/>
    <w:pPr>
      <w:ind w:left="840" w:leftChars="400"/>
    </w:pPr>
  </w:style>
  <w:style w:type="character" w:customStyle="1" w:styleId="77">
    <w:name w:val="纯文本 字符"/>
    <w:basedOn w:val="48"/>
    <w:link w:val="25"/>
    <w:qFormat/>
    <w:uiPriority w:val="0"/>
    <w:rPr>
      <w:rFonts w:ascii="宋体" w:hAnsi="Courier New" w:eastAsia="楷体_GB2312" w:cs="Times New Roman"/>
      <w:sz w:val="28"/>
      <w:szCs w:val="21"/>
    </w:rPr>
  </w:style>
  <w:style w:type="paragraph" w:customStyle="1" w:styleId="78">
    <w:name w:val="目录 81"/>
    <w:basedOn w:val="1"/>
    <w:next w:val="1"/>
    <w:unhideWhenUsed/>
    <w:qFormat/>
    <w:uiPriority w:val="39"/>
    <w:pPr>
      <w:ind w:left="1470" w:hanging="272" w:hangingChars="200"/>
    </w:pPr>
    <w:rPr>
      <w:rFonts w:ascii="Calibri" w:hAnsi="Calibri" w:eastAsia="宋体"/>
      <w:sz w:val="18"/>
      <w:szCs w:val="18"/>
    </w:rPr>
  </w:style>
  <w:style w:type="character" w:customStyle="1" w:styleId="79">
    <w:name w:val="日期 字符"/>
    <w:basedOn w:val="48"/>
    <w:link w:val="28"/>
    <w:qFormat/>
    <w:uiPriority w:val="0"/>
    <w:rPr>
      <w:rFonts w:ascii="Times New Roman" w:hAnsi="Times New Roman" w:eastAsia="宋体" w:cs="Times New Roman"/>
      <w:szCs w:val="24"/>
    </w:rPr>
  </w:style>
  <w:style w:type="character" w:customStyle="1" w:styleId="80">
    <w:name w:val="正文文本缩进 2 字符"/>
    <w:basedOn w:val="48"/>
    <w:link w:val="81"/>
    <w:qFormat/>
    <w:uiPriority w:val="0"/>
    <w:rPr>
      <w:rFonts w:ascii="等线" w:hAnsi="等线" w:eastAsia="等线" w:cs="Times New Roman"/>
      <w:szCs w:val="21"/>
    </w:rPr>
  </w:style>
  <w:style w:type="paragraph" w:customStyle="1" w:styleId="81">
    <w:name w:val="正文文本缩进 21"/>
    <w:basedOn w:val="1"/>
    <w:next w:val="29"/>
    <w:link w:val="80"/>
    <w:unhideWhenUsed/>
    <w:qFormat/>
    <w:uiPriority w:val="0"/>
    <w:pPr>
      <w:widowControl w:val="0"/>
      <w:spacing w:after="120" w:line="480" w:lineRule="auto"/>
      <w:ind w:left="420" w:leftChars="200"/>
      <w:jc w:val="both"/>
    </w:pPr>
  </w:style>
  <w:style w:type="character" w:customStyle="1" w:styleId="82">
    <w:name w:val="正文文本缩进 2 字符1"/>
    <w:link w:val="29"/>
    <w:qFormat/>
    <w:uiPriority w:val="0"/>
    <w:rPr>
      <w:rFonts w:ascii="等线" w:hAnsi="等线" w:eastAsia="等线" w:cs="Times New Roman"/>
      <w:szCs w:val="21"/>
    </w:rPr>
  </w:style>
  <w:style w:type="character" w:customStyle="1" w:styleId="83">
    <w:name w:val="批注框文本 字符"/>
    <w:basedOn w:val="48"/>
    <w:link w:val="30"/>
    <w:qFormat/>
    <w:uiPriority w:val="0"/>
    <w:rPr>
      <w:rFonts w:ascii="等线" w:hAnsi="等线" w:eastAsia="等线" w:cs="Times New Roman"/>
      <w:sz w:val="18"/>
      <w:szCs w:val="18"/>
    </w:rPr>
  </w:style>
  <w:style w:type="character" w:customStyle="1" w:styleId="84">
    <w:name w:val="页脚 字符"/>
    <w:basedOn w:val="48"/>
    <w:link w:val="31"/>
    <w:qFormat/>
    <w:uiPriority w:val="0"/>
    <w:rPr>
      <w:rFonts w:ascii="等线" w:hAnsi="等线" w:eastAsia="等线" w:cs="Times New Roman"/>
      <w:sz w:val="18"/>
      <w:szCs w:val="18"/>
    </w:rPr>
  </w:style>
  <w:style w:type="character" w:customStyle="1" w:styleId="85">
    <w:name w:val="页眉 字符"/>
    <w:basedOn w:val="48"/>
    <w:link w:val="32"/>
    <w:qFormat/>
    <w:uiPriority w:val="0"/>
    <w:rPr>
      <w:rFonts w:ascii="等线" w:hAnsi="等线" w:eastAsia="等线" w:cs="Times New Roman"/>
      <w:sz w:val="18"/>
      <w:szCs w:val="18"/>
    </w:rPr>
  </w:style>
  <w:style w:type="paragraph" w:customStyle="1" w:styleId="86">
    <w:name w:val="目录 11"/>
    <w:basedOn w:val="1"/>
    <w:next w:val="1"/>
    <w:unhideWhenUsed/>
    <w:qFormat/>
    <w:uiPriority w:val="39"/>
  </w:style>
  <w:style w:type="paragraph" w:customStyle="1" w:styleId="87">
    <w:name w:val="目录 41"/>
    <w:basedOn w:val="1"/>
    <w:next w:val="1"/>
    <w:unhideWhenUsed/>
    <w:qFormat/>
    <w:uiPriority w:val="39"/>
    <w:pPr>
      <w:ind w:left="630" w:hanging="272" w:hangingChars="200"/>
    </w:pPr>
    <w:rPr>
      <w:rFonts w:ascii="Calibri" w:hAnsi="Calibri" w:eastAsia="宋体"/>
      <w:sz w:val="18"/>
      <w:szCs w:val="18"/>
    </w:rPr>
  </w:style>
  <w:style w:type="character" w:customStyle="1" w:styleId="88">
    <w:name w:val="副标题 字符"/>
    <w:basedOn w:val="48"/>
    <w:link w:val="35"/>
    <w:qFormat/>
    <w:uiPriority w:val="0"/>
    <w:rPr>
      <w:rFonts w:ascii="Calibri Light" w:hAnsi="Calibri Light" w:eastAsia="等线" w:cs="Times New Roman"/>
      <w:b/>
      <w:bCs/>
      <w:kern w:val="28"/>
      <w:sz w:val="32"/>
      <w:szCs w:val="32"/>
    </w:rPr>
  </w:style>
  <w:style w:type="character" w:customStyle="1" w:styleId="89">
    <w:name w:val="脚注文本 字符"/>
    <w:basedOn w:val="48"/>
    <w:link w:val="36"/>
    <w:qFormat/>
    <w:uiPriority w:val="99"/>
    <w:rPr>
      <w:rFonts w:ascii="Calibri" w:hAnsi="Calibri" w:eastAsia="宋体" w:cs="Times New Roman"/>
      <w:kern w:val="0"/>
      <w:sz w:val="20"/>
      <w:szCs w:val="20"/>
    </w:rPr>
  </w:style>
  <w:style w:type="paragraph" w:customStyle="1" w:styleId="90">
    <w:name w:val="目录 61"/>
    <w:basedOn w:val="1"/>
    <w:next w:val="1"/>
    <w:unhideWhenUsed/>
    <w:qFormat/>
    <w:uiPriority w:val="39"/>
    <w:pPr>
      <w:ind w:left="1050" w:hanging="272" w:hangingChars="200"/>
    </w:pPr>
    <w:rPr>
      <w:rFonts w:ascii="Calibri" w:hAnsi="Calibri" w:eastAsia="宋体"/>
      <w:sz w:val="18"/>
      <w:szCs w:val="18"/>
    </w:rPr>
  </w:style>
  <w:style w:type="character" w:customStyle="1" w:styleId="91">
    <w:name w:val="正文文本缩进 3 字符"/>
    <w:basedOn w:val="48"/>
    <w:link w:val="38"/>
    <w:qFormat/>
    <w:uiPriority w:val="0"/>
    <w:rPr>
      <w:rFonts w:ascii="等线" w:hAnsi="等线" w:eastAsia="等线" w:cs="Times New Roman"/>
      <w:sz w:val="16"/>
      <w:szCs w:val="16"/>
    </w:rPr>
  </w:style>
  <w:style w:type="paragraph" w:customStyle="1" w:styleId="92">
    <w:name w:val="目录 21"/>
    <w:basedOn w:val="1"/>
    <w:next w:val="1"/>
    <w:unhideWhenUsed/>
    <w:qFormat/>
    <w:uiPriority w:val="39"/>
    <w:pPr>
      <w:ind w:left="420" w:leftChars="200"/>
    </w:pPr>
  </w:style>
  <w:style w:type="paragraph" w:customStyle="1" w:styleId="93">
    <w:name w:val="目录 91"/>
    <w:basedOn w:val="1"/>
    <w:next w:val="1"/>
    <w:unhideWhenUsed/>
    <w:qFormat/>
    <w:uiPriority w:val="39"/>
    <w:pPr>
      <w:ind w:left="1680" w:hanging="272" w:hangingChars="200"/>
    </w:pPr>
    <w:rPr>
      <w:rFonts w:ascii="Calibri" w:hAnsi="Calibri" w:eastAsia="宋体"/>
      <w:sz w:val="18"/>
      <w:szCs w:val="18"/>
    </w:rPr>
  </w:style>
  <w:style w:type="character" w:customStyle="1" w:styleId="94">
    <w:name w:val="普通(网站) 字符"/>
    <w:link w:val="42"/>
    <w:qFormat/>
    <w:uiPriority w:val="99"/>
    <w:rPr>
      <w:rFonts w:ascii="宋体" w:hAnsi="宋体" w:eastAsia="等线" w:cs="宋体"/>
      <w:sz w:val="24"/>
      <w:szCs w:val="24"/>
    </w:rPr>
  </w:style>
  <w:style w:type="character" w:customStyle="1" w:styleId="95">
    <w:name w:val="标题 字符"/>
    <w:basedOn w:val="48"/>
    <w:link w:val="43"/>
    <w:qFormat/>
    <w:uiPriority w:val="0"/>
    <w:rPr>
      <w:rFonts w:ascii="Calibri Light" w:hAnsi="Calibri Light" w:eastAsia="等线" w:cs="Times New Roman"/>
      <w:b/>
      <w:bCs/>
      <w:sz w:val="32"/>
      <w:szCs w:val="32"/>
    </w:rPr>
  </w:style>
  <w:style w:type="character" w:customStyle="1" w:styleId="96">
    <w:name w:val="批注主题 字符"/>
    <w:basedOn w:val="69"/>
    <w:link w:val="44"/>
    <w:qFormat/>
    <w:uiPriority w:val="0"/>
    <w:rPr>
      <w:rFonts w:ascii="等线" w:hAnsi="等线" w:eastAsia="等线" w:cs="Times New Roman"/>
      <w:b/>
      <w:bCs/>
      <w:szCs w:val="21"/>
    </w:rPr>
  </w:style>
  <w:style w:type="paragraph" w:customStyle="1" w:styleId="97">
    <w:name w:val="正文首行缩进1"/>
    <w:basedOn w:val="18"/>
    <w:link w:val="98"/>
    <w:unhideWhenUsed/>
    <w:qFormat/>
    <w:uiPriority w:val="0"/>
    <w:pPr>
      <w:widowControl w:val="0"/>
      <w:ind w:firstLine="420" w:firstLineChars="100"/>
      <w:jc w:val="both"/>
    </w:pPr>
    <w:rPr>
      <w:sz w:val="24"/>
      <w:szCs w:val="22"/>
    </w:rPr>
  </w:style>
  <w:style w:type="character" w:customStyle="1" w:styleId="98">
    <w:name w:val="正文首行缩进 字符"/>
    <w:link w:val="97"/>
    <w:qFormat/>
    <w:uiPriority w:val="0"/>
    <w:rPr>
      <w:rFonts w:ascii="等线" w:hAnsi="等线" w:eastAsia="等线" w:cs="Times New Roman"/>
      <w:sz w:val="24"/>
    </w:rPr>
  </w:style>
  <w:style w:type="paragraph" w:customStyle="1" w:styleId="99">
    <w:name w:val="正文首行缩进 21"/>
    <w:basedOn w:val="19"/>
    <w:link w:val="100"/>
    <w:qFormat/>
    <w:uiPriority w:val="0"/>
    <w:pPr>
      <w:widowControl w:val="0"/>
      <w:autoSpaceDE w:val="0"/>
      <w:autoSpaceDN w:val="0"/>
      <w:adjustRightInd w:val="0"/>
      <w:ind w:firstLine="420" w:firstLineChars="200"/>
      <w:jc w:val="left"/>
    </w:pPr>
    <w:rPr>
      <w:rFonts w:ascii="Times New Roman" w:hAnsi="Times New Roman"/>
      <w:snapToGrid w:val="0"/>
      <w:kern w:val="0"/>
      <w:sz w:val="21"/>
      <w:szCs w:val="21"/>
    </w:rPr>
  </w:style>
  <w:style w:type="character" w:customStyle="1" w:styleId="100">
    <w:name w:val="正文首行缩进 2 字符"/>
    <w:link w:val="99"/>
    <w:qFormat/>
    <w:uiPriority w:val="0"/>
    <w:rPr>
      <w:rFonts w:ascii="Times New Roman" w:hAnsi="Times New Roman" w:eastAsia="宋体" w:cs="Times New Roman"/>
      <w:snapToGrid w:val="0"/>
      <w:kern w:val="0"/>
      <w:szCs w:val="21"/>
    </w:rPr>
  </w:style>
  <w:style w:type="paragraph" w:customStyle="1" w:styleId="101">
    <w:name w:val="修订1"/>
    <w:qFormat/>
    <w:uiPriority w:val="0"/>
    <w:rPr>
      <w:rFonts w:ascii="Times New Roman" w:hAnsi="Times New Roman" w:eastAsia="宋体" w:cs="Times New Roman"/>
      <w:kern w:val="0"/>
      <w:sz w:val="24"/>
      <w:szCs w:val="21"/>
      <w:lang w:val="en-US" w:eastAsia="en-US" w:bidi="en-US"/>
    </w:rPr>
  </w:style>
  <w:style w:type="paragraph" w:customStyle="1" w:styleId="102">
    <w:name w:val="__正文"/>
    <w:link w:val="103"/>
    <w:qFormat/>
    <w:uiPriority w:val="0"/>
    <w:pPr>
      <w:widowControl w:val="0"/>
      <w:spacing w:line="360" w:lineRule="auto"/>
      <w:ind w:firstLine="200" w:firstLineChars="200"/>
    </w:pPr>
    <w:rPr>
      <w:rFonts w:ascii="等线" w:hAnsi="等线" w:eastAsia="微软雅黑" w:cs="Times New Roman"/>
      <w:kern w:val="2"/>
      <w:sz w:val="21"/>
      <w:szCs w:val="21"/>
      <w:lang w:val="en-US" w:eastAsia="zh-CN" w:bidi="ar-SA"/>
    </w:rPr>
  </w:style>
  <w:style w:type="character" w:customStyle="1" w:styleId="103">
    <w:name w:val="__正文 Char"/>
    <w:link w:val="102"/>
    <w:qFormat/>
    <w:uiPriority w:val="0"/>
    <w:rPr>
      <w:rFonts w:ascii="等线" w:hAnsi="等线" w:eastAsia="微软雅黑" w:cs="Times New Roman"/>
      <w:szCs w:val="21"/>
    </w:rPr>
  </w:style>
  <w:style w:type="paragraph" w:customStyle="1" w:styleId="104">
    <w:name w:val="_标题1"/>
    <w:basedOn w:val="102"/>
    <w:next w:val="102"/>
    <w:qFormat/>
    <w:uiPriority w:val="0"/>
    <w:pPr>
      <w:keepNext/>
      <w:pageBreakBefore/>
      <w:ind w:firstLine="0" w:firstLineChars="0"/>
      <w:outlineLvl w:val="0"/>
    </w:pPr>
    <w:rPr>
      <w:b/>
      <w:sz w:val="44"/>
    </w:rPr>
  </w:style>
  <w:style w:type="paragraph" w:customStyle="1" w:styleId="105">
    <w:name w:val="_标题2"/>
    <w:basedOn w:val="102"/>
    <w:next w:val="102"/>
    <w:qFormat/>
    <w:uiPriority w:val="0"/>
    <w:pPr>
      <w:keepNext/>
      <w:spacing w:beforeLines="50" w:afterLines="50"/>
      <w:ind w:firstLine="0" w:firstLineChars="0"/>
      <w:outlineLvl w:val="1"/>
    </w:pPr>
    <w:rPr>
      <w:rFonts w:eastAsia="宋体"/>
      <w:b/>
      <w:sz w:val="28"/>
    </w:rPr>
  </w:style>
  <w:style w:type="paragraph" w:customStyle="1" w:styleId="106">
    <w:name w:val="_标题3"/>
    <w:basedOn w:val="102"/>
    <w:next w:val="102"/>
    <w:qFormat/>
    <w:uiPriority w:val="0"/>
    <w:pPr>
      <w:spacing w:before="163" w:after="163"/>
      <w:ind w:firstLine="0" w:firstLineChars="0"/>
      <w:outlineLvl w:val="2"/>
    </w:pPr>
    <w:rPr>
      <w:rFonts w:eastAsia="宋体"/>
      <w:b/>
      <w:sz w:val="28"/>
    </w:rPr>
  </w:style>
  <w:style w:type="paragraph" w:customStyle="1" w:styleId="107">
    <w:name w:val="_标题4"/>
    <w:basedOn w:val="102"/>
    <w:next w:val="102"/>
    <w:link w:val="108"/>
    <w:qFormat/>
    <w:uiPriority w:val="0"/>
    <w:pPr>
      <w:keepNext/>
      <w:ind w:firstLine="0" w:firstLineChars="0"/>
      <w:outlineLvl w:val="3"/>
    </w:pPr>
    <w:rPr>
      <w:b/>
      <w:sz w:val="28"/>
    </w:rPr>
  </w:style>
  <w:style w:type="character" w:customStyle="1" w:styleId="108">
    <w:name w:val="_标题4 Char"/>
    <w:link w:val="107"/>
    <w:qFormat/>
    <w:uiPriority w:val="0"/>
    <w:rPr>
      <w:rFonts w:ascii="等线" w:hAnsi="等线" w:eastAsia="微软雅黑" w:cs="Times New Roman"/>
      <w:b/>
      <w:sz w:val="28"/>
      <w:szCs w:val="21"/>
    </w:rPr>
  </w:style>
  <w:style w:type="paragraph" w:customStyle="1" w:styleId="109">
    <w:name w:val="_标题5"/>
    <w:basedOn w:val="102"/>
    <w:next w:val="102"/>
    <w:link w:val="110"/>
    <w:autoRedefine/>
    <w:qFormat/>
    <w:uiPriority w:val="0"/>
    <w:pPr>
      <w:keepNext/>
      <w:spacing w:before="163" w:beforeLines="50"/>
      <w:ind w:firstLine="0" w:firstLineChars="0"/>
      <w:outlineLvl w:val="4"/>
    </w:pPr>
    <w:rPr>
      <w:rFonts w:eastAsia="宋体"/>
      <w:b/>
    </w:rPr>
  </w:style>
  <w:style w:type="character" w:customStyle="1" w:styleId="110">
    <w:name w:val="_标题5 Char"/>
    <w:link w:val="109"/>
    <w:qFormat/>
    <w:uiPriority w:val="0"/>
    <w:rPr>
      <w:rFonts w:ascii="等线" w:hAnsi="等线" w:eastAsia="宋体" w:cs="Times New Roman"/>
      <w:b/>
      <w:szCs w:val="21"/>
    </w:rPr>
  </w:style>
  <w:style w:type="paragraph" w:customStyle="1" w:styleId="111">
    <w:name w:val="_标题6"/>
    <w:basedOn w:val="102"/>
    <w:next w:val="102"/>
    <w:qFormat/>
    <w:uiPriority w:val="0"/>
    <w:pPr>
      <w:spacing w:beforeLines="50" w:afterLines="50"/>
      <w:ind w:firstLine="0" w:firstLineChars="0"/>
      <w:outlineLvl w:val="5"/>
    </w:pPr>
    <w:rPr>
      <w:b/>
    </w:rPr>
  </w:style>
  <w:style w:type="paragraph" w:customStyle="1" w:styleId="112">
    <w:name w:val="_标题7"/>
    <w:basedOn w:val="102"/>
    <w:next w:val="102"/>
    <w:qFormat/>
    <w:uiPriority w:val="0"/>
    <w:pPr>
      <w:spacing w:beforeLines="50" w:afterLines="50"/>
      <w:ind w:firstLine="0" w:firstLineChars="0"/>
      <w:outlineLvl w:val="6"/>
    </w:pPr>
    <w:rPr>
      <w:b/>
    </w:rPr>
  </w:style>
  <w:style w:type="paragraph" w:customStyle="1" w:styleId="113">
    <w:name w:val="_标题8"/>
    <w:basedOn w:val="102"/>
    <w:next w:val="102"/>
    <w:qFormat/>
    <w:uiPriority w:val="0"/>
    <w:pPr>
      <w:spacing w:beforeLines="50" w:afterLines="50"/>
      <w:ind w:firstLine="0" w:firstLineChars="0"/>
      <w:outlineLvl w:val="7"/>
    </w:pPr>
    <w:rPr>
      <w:b/>
    </w:rPr>
  </w:style>
  <w:style w:type="paragraph" w:customStyle="1" w:styleId="114">
    <w:name w:val="_标题9"/>
    <w:basedOn w:val="102"/>
    <w:next w:val="102"/>
    <w:qFormat/>
    <w:uiPriority w:val="0"/>
    <w:pPr>
      <w:spacing w:beforeLines="50" w:afterLines="50"/>
      <w:ind w:firstLine="0" w:firstLineChars="0"/>
      <w:outlineLvl w:val="8"/>
    </w:pPr>
  </w:style>
  <w:style w:type="paragraph" w:customStyle="1" w:styleId="115">
    <w:name w:val="_Style 4"/>
    <w:basedOn w:val="1"/>
    <w:qFormat/>
    <w:uiPriority w:val="0"/>
    <w:pPr>
      <w:widowControl w:val="0"/>
      <w:spacing w:line="240" w:lineRule="auto"/>
      <w:ind w:firstLine="420" w:firstLineChars="200"/>
      <w:jc w:val="both"/>
    </w:pPr>
    <w:rPr>
      <w:rFonts w:ascii="Calibri" w:hAnsi="Calibri"/>
      <w:szCs w:val="22"/>
    </w:rPr>
  </w:style>
  <w:style w:type="paragraph" w:customStyle="1" w:styleId="116">
    <w:name w:val="z-窗体顶端1"/>
    <w:basedOn w:val="1"/>
    <w:next w:val="1"/>
    <w:link w:val="117"/>
    <w:unhideWhenUsed/>
    <w:qFormat/>
    <w:uiPriority w:val="0"/>
    <w:pPr>
      <w:pBdr>
        <w:bottom w:val="single" w:color="auto" w:sz="6" w:space="1"/>
      </w:pBdr>
      <w:spacing w:line="240" w:lineRule="auto"/>
      <w:jc w:val="center"/>
    </w:pPr>
    <w:rPr>
      <w:rFonts w:ascii="Arial" w:hAnsi="Arial"/>
      <w:vanish/>
      <w:sz w:val="16"/>
      <w:szCs w:val="16"/>
    </w:rPr>
  </w:style>
  <w:style w:type="character" w:customStyle="1" w:styleId="117">
    <w:name w:val="z-窗体顶端 字符"/>
    <w:link w:val="116"/>
    <w:qFormat/>
    <w:uiPriority w:val="0"/>
    <w:rPr>
      <w:rFonts w:ascii="Arial" w:hAnsi="Arial" w:eastAsia="等线" w:cs="Times New Roman"/>
      <w:vanish/>
      <w:sz w:val="16"/>
      <w:szCs w:val="16"/>
    </w:rPr>
  </w:style>
  <w:style w:type="paragraph" w:customStyle="1" w:styleId="118">
    <w:name w:val="_Style 80"/>
    <w:qFormat/>
    <w:uiPriority w:val="64"/>
    <w:rPr>
      <w:rFonts w:ascii="Calibri" w:hAnsi="Calibri" w:eastAsia="宋体" w:cs="Times New Roman"/>
      <w:kern w:val="2"/>
      <w:sz w:val="24"/>
      <w:szCs w:val="24"/>
      <w:lang w:val="en-US" w:eastAsia="zh-CN" w:bidi="ar-SA"/>
    </w:rPr>
  </w:style>
  <w:style w:type="paragraph" w:customStyle="1" w:styleId="119">
    <w:name w:val="_标题 4"/>
    <w:basedOn w:val="5"/>
    <w:next w:val="1"/>
    <w:qFormat/>
    <w:uiPriority w:val="0"/>
    <w:pPr>
      <w:widowControl/>
      <w:tabs>
        <w:tab w:val="left" w:pos="851"/>
      </w:tabs>
      <w:spacing w:before="0" w:after="0" w:line="240" w:lineRule="atLeast"/>
      <w:ind w:left="454" w:hanging="420"/>
      <w:jc w:val="left"/>
    </w:pPr>
    <w:rPr>
      <w:rFonts w:ascii="Cambria" w:hAnsi="Cambria" w:eastAsia="宋体" w:cs="宋体"/>
      <w:kern w:val="0"/>
      <w:sz w:val="28"/>
    </w:rPr>
  </w:style>
  <w:style w:type="paragraph" w:customStyle="1" w:styleId="120">
    <w:name w:val="_标题 1"/>
    <w:basedOn w:val="2"/>
    <w:next w:val="1"/>
    <w:qFormat/>
    <w:uiPriority w:val="0"/>
    <w:pPr>
      <w:pageBreakBefore w:val="0"/>
      <w:widowControl/>
      <w:tabs>
        <w:tab w:val="left" w:pos="425"/>
      </w:tabs>
      <w:spacing w:before="240" w:after="240" w:line="576" w:lineRule="auto"/>
      <w:ind w:left="425" w:hanging="425"/>
    </w:pPr>
    <w:rPr>
      <w:rFonts w:ascii="Calibri" w:hAnsi="Calibri" w:eastAsia="微软雅黑" w:cs="宋体"/>
      <w:sz w:val="44"/>
    </w:rPr>
  </w:style>
  <w:style w:type="paragraph" w:styleId="121">
    <w:name w:val="List Paragraph"/>
    <w:basedOn w:val="1"/>
    <w:link w:val="122"/>
    <w:qFormat/>
    <w:uiPriority w:val="34"/>
    <w:pPr>
      <w:ind w:firstLine="420" w:firstLineChars="200"/>
    </w:pPr>
  </w:style>
  <w:style w:type="character" w:customStyle="1" w:styleId="122">
    <w:name w:val="列表段落 字符"/>
    <w:link w:val="121"/>
    <w:qFormat/>
    <w:uiPriority w:val="34"/>
    <w:rPr>
      <w:rFonts w:ascii="等线" w:hAnsi="等线" w:eastAsia="等线" w:cs="Times New Roman"/>
      <w:szCs w:val="21"/>
    </w:rPr>
  </w:style>
  <w:style w:type="table" w:customStyle="1" w:styleId="123">
    <w:name w:val="Table Normal"/>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character" w:customStyle="1" w:styleId="124">
    <w:name w:val="*正文 字符"/>
    <w:link w:val="125"/>
    <w:qFormat/>
    <w:locked/>
    <w:uiPriority w:val="0"/>
    <w:rPr>
      <w:rFonts w:ascii="仿宋_GB2312" w:hAnsi="宋体"/>
      <w:b/>
      <w:spacing w:val="2"/>
      <w:sz w:val="24"/>
      <w:szCs w:val="28"/>
    </w:rPr>
  </w:style>
  <w:style w:type="paragraph" w:customStyle="1" w:styleId="125">
    <w:name w:val="*正文"/>
    <w:basedOn w:val="1"/>
    <w:next w:val="1"/>
    <w:link w:val="124"/>
    <w:qFormat/>
    <w:uiPriority w:val="0"/>
    <w:pPr>
      <w:adjustRightInd w:val="0"/>
      <w:snapToGrid w:val="0"/>
      <w:ind w:firstLine="560" w:firstLineChars="200"/>
      <w:jc w:val="both"/>
    </w:pPr>
    <w:rPr>
      <w:rFonts w:ascii="仿宋_GB2312" w:hAnsi="宋体" w:eastAsiaTheme="minorEastAsia" w:cstheme="minorBidi"/>
      <w:b/>
      <w:spacing w:val="2"/>
      <w:sz w:val="24"/>
      <w:szCs w:val="28"/>
    </w:rPr>
  </w:style>
  <w:style w:type="paragraph" w:styleId="126">
    <w:name w:val="No Spacing"/>
    <w:link w:val="127"/>
    <w:qFormat/>
    <w:uiPriority w:val="1"/>
    <w:rPr>
      <w:rFonts w:ascii="Times New Roman" w:hAnsi="Times New Roman" w:eastAsia="宋体" w:cs="宋体"/>
      <w:kern w:val="0"/>
      <w:sz w:val="24"/>
      <w:szCs w:val="24"/>
      <w:lang w:val="en-US" w:eastAsia="zh-CN" w:bidi="ar-SA"/>
    </w:rPr>
  </w:style>
  <w:style w:type="character" w:customStyle="1" w:styleId="127">
    <w:name w:val="无间隔 字符"/>
    <w:link w:val="126"/>
    <w:qFormat/>
    <w:uiPriority w:val="1"/>
    <w:rPr>
      <w:rFonts w:ascii="Times New Roman" w:hAnsi="Times New Roman" w:eastAsia="宋体" w:cs="宋体"/>
      <w:kern w:val="0"/>
      <w:sz w:val="24"/>
      <w:szCs w:val="24"/>
    </w:rPr>
  </w:style>
  <w:style w:type="paragraph" w:customStyle="1" w:styleId="128">
    <w:name w:val="正文字母编号"/>
    <w:basedOn w:val="1"/>
    <w:qFormat/>
    <w:uiPriority w:val="99"/>
    <w:pPr>
      <w:widowControl w:val="0"/>
      <w:jc w:val="both"/>
    </w:pPr>
    <w:rPr>
      <w:rFonts w:ascii="宋体" w:hAnsi="宋体" w:eastAsia="宋体"/>
      <w:sz w:val="24"/>
    </w:rPr>
  </w:style>
  <w:style w:type="paragraph" w:customStyle="1" w:styleId="129">
    <w:name w:val="格式88"/>
    <w:basedOn w:val="1"/>
    <w:qFormat/>
    <w:uiPriority w:val="0"/>
    <w:pPr>
      <w:snapToGrid w:val="0"/>
      <w:spacing w:after="120" w:line="212" w:lineRule="atLeast"/>
      <w:ind w:firstLine="240" w:firstLineChars="100"/>
    </w:pPr>
    <w:rPr>
      <w:rFonts w:ascii="宋体" w:hAnsi="宋体" w:eastAsia="宋体"/>
      <w:sz w:val="24"/>
      <w:szCs w:val="20"/>
    </w:rPr>
  </w:style>
  <w:style w:type="paragraph" w:customStyle="1" w:styleId="130">
    <w:name w:val="Char Char Char Char Char Char Char"/>
    <w:basedOn w:val="1"/>
    <w:semiHidden/>
    <w:qFormat/>
    <w:uiPriority w:val="0"/>
    <w:pPr>
      <w:spacing w:after="160" w:line="240" w:lineRule="exact"/>
    </w:pPr>
    <w:rPr>
      <w:rFonts w:ascii="Verdana" w:hAnsi="Verdana" w:eastAsia="宋体"/>
      <w:kern w:val="0"/>
      <w:sz w:val="20"/>
      <w:szCs w:val="20"/>
      <w:lang w:eastAsia="en-US"/>
    </w:rPr>
  </w:style>
  <w:style w:type="character" w:customStyle="1" w:styleId="131">
    <w:name w:val="样式 正文缩进 + 首行缩进:  2 字符 Char Char"/>
    <w:link w:val="132"/>
    <w:qFormat/>
    <w:uiPriority w:val="0"/>
    <w:rPr>
      <w:sz w:val="24"/>
    </w:rPr>
  </w:style>
  <w:style w:type="paragraph" w:customStyle="1" w:styleId="132">
    <w:name w:val="样式 正文缩进 + 首行缩进:  2 字符"/>
    <w:basedOn w:val="14"/>
    <w:link w:val="131"/>
    <w:qFormat/>
    <w:uiPriority w:val="0"/>
    <w:pPr>
      <w:widowControl w:val="0"/>
    </w:pPr>
    <w:rPr>
      <w:rFonts w:asciiTheme="minorHAnsi" w:hAnsiTheme="minorHAnsi" w:eastAsiaTheme="minorEastAsia" w:cstheme="minorBidi"/>
      <w:kern w:val="2"/>
      <w:szCs w:val="22"/>
    </w:rPr>
  </w:style>
  <w:style w:type="paragraph" w:customStyle="1" w:styleId="133">
    <w:name w:val="样式 行距: 固定值 14 磅"/>
    <w:basedOn w:val="1"/>
    <w:qFormat/>
    <w:uiPriority w:val="0"/>
    <w:pPr>
      <w:widowControl w:val="0"/>
      <w:spacing w:line="500" w:lineRule="exact"/>
      <w:ind w:firstLine="560" w:firstLineChars="200"/>
      <w:jc w:val="both"/>
    </w:pPr>
    <w:rPr>
      <w:rFonts w:ascii="Times New Roman" w:hAnsi="Times New Roman" w:eastAsia="宋体"/>
      <w:sz w:val="28"/>
      <w:szCs w:val="20"/>
    </w:rPr>
  </w:style>
  <w:style w:type="paragraph" w:customStyle="1" w:styleId="134">
    <w:name w:val="题注-QBPT Char1"/>
    <w:basedOn w:val="1"/>
    <w:next w:val="1"/>
    <w:unhideWhenUsed/>
    <w:qFormat/>
    <w:uiPriority w:val="0"/>
    <w:pPr>
      <w:widowControl w:val="0"/>
      <w:jc w:val="both"/>
    </w:pPr>
    <w:rPr>
      <w:rFonts w:ascii="Calibri Light" w:hAnsi="Calibri Light" w:eastAsia="黑体"/>
      <w:sz w:val="20"/>
      <w:szCs w:val="20"/>
    </w:rPr>
  </w:style>
  <w:style w:type="paragraph" w:customStyle="1" w:styleId="135">
    <w:name w:val="无缩进正文"/>
    <w:basedOn w:val="1"/>
    <w:link w:val="136"/>
    <w:qFormat/>
    <w:uiPriority w:val="0"/>
    <w:pPr>
      <w:jc w:val="both"/>
    </w:pPr>
    <w:rPr>
      <w:rFonts w:ascii="宋体" w:hAnsi="宋体" w:eastAsia="宋体" w:cs="宋体"/>
      <w:color w:val="000000"/>
      <w:kern w:val="0"/>
      <w:sz w:val="24"/>
    </w:rPr>
  </w:style>
  <w:style w:type="character" w:customStyle="1" w:styleId="136">
    <w:name w:val="无缩进正文 Char"/>
    <w:link w:val="135"/>
    <w:qFormat/>
    <w:uiPriority w:val="0"/>
    <w:rPr>
      <w:rFonts w:ascii="宋体" w:hAnsi="宋体" w:eastAsia="宋体" w:cs="宋体"/>
      <w:color w:val="000000"/>
      <w:kern w:val="0"/>
      <w:sz w:val="24"/>
      <w:szCs w:val="21"/>
    </w:rPr>
  </w:style>
  <w:style w:type="table" w:customStyle="1" w:styleId="137">
    <w:name w:val="Gridding1"/>
    <w:basedOn w:val="46"/>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8">
    <w:name w:val="列出段落 Char1"/>
    <w:qFormat/>
    <w:uiPriority w:val="34"/>
    <w:rPr>
      <w:rFonts w:ascii="Times New Roman" w:hAnsi="Times New Roman" w:eastAsia="宋体" w:cs="Times New Roman"/>
      <w:szCs w:val="24"/>
    </w:rPr>
  </w:style>
  <w:style w:type="character" w:customStyle="1" w:styleId="139">
    <w:name w:val="样式 正文文本 + 小四 Char Char"/>
    <w:link w:val="140"/>
    <w:qFormat/>
    <w:uiPriority w:val="0"/>
    <w:rPr>
      <w:rFonts w:ascii="宋体" w:hAnsi="宋体" w:cs="Arial"/>
      <w:color w:val="000000"/>
      <w:spacing w:val="-5"/>
    </w:rPr>
  </w:style>
  <w:style w:type="paragraph" w:customStyle="1" w:styleId="140">
    <w:name w:val="样式 正文文本 + 小四"/>
    <w:basedOn w:val="1"/>
    <w:link w:val="139"/>
    <w:qFormat/>
    <w:uiPriority w:val="0"/>
    <w:pPr>
      <w:tabs>
        <w:tab w:val="left" w:pos="-2340"/>
        <w:tab w:val="left" w:pos="3960"/>
      </w:tabs>
      <w:spacing w:before="20"/>
      <w:ind w:firstLine="400" w:firstLineChars="200"/>
      <w:jc w:val="both"/>
    </w:pPr>
    <w:rPr>
      <w:rFonts w:ascii="宋体" w:hAnsi="宋体" w:cs="Arial" w:eastAsiaTheme="minorEastAsia"/>
      <w:color w:val="000000"/>
      <w:spacing w:val="-5"/>
      <w:szCs w:val="22"/>
    </w:rPr>
  </w:style>
  <w:style w:type="character" w:customStyle="1" w:styleId="141">
    <w:name w:val="纯文本 字符1"/>
    <w:semiHidden/>
    <w:qFormat/>
    <w:uiPriority w:val="0"/>
    <w:rPr>
      <w:rFonts w:ascii="等线" w:hAnsi="Courier New" w:cs="Courier New"/>
    </w:rPr>
  </w:style>
  <w:style w:type="character" w:customStyle="1" w:styleId="142">
    <w:name w:val="纯文本 Char"/>
    <w:semiHidden/>
    <w:qFormat/>
    <w:uiPriority w:val="99"/>
    <w:rPr>
      <w:rFonts w:ascii="宋体" w:hAnsi="Courier New" w:cs="Courier New"/>
      <w:kern w:val="2"/>
      <w:sz w:val="21"/>
      <w:szCs w:val="21"/>
    </w:rPr>
  </w:style>
  <w:style w:type="character" w:customStyle="1" w:styleId="143">
    <w:name w:val="样式 首行缩进:  2 字符 Char"/>
    <w:link w:val="144"/>
    <w:qFormat/>
    <w:uiPriority w:val="0"/>
    <w:rPr>
      <w:rFonts w:cs="宋体"/>
      <w:sz w:val="24"/>
    </w:rPr>
  </w:style>
  <w:style w:type="paragraph" w:customStyle="1" w:styleId="144">
    <w:name w:val="样式 首行缩进:  2 字符"/>
    <w:basedOn w:val="1"/>
    <w:link w:val="143"/>
    <w:qFormat/>
    <w:uiPriority w:val="0"/>
    <w:pPr>
      <w:widowControl w:val="0"/>
      <w:adjustRightInd w:val="0"/>
      <w:ind w:firstLine="480" w:firstLineChars="200"/>
      <w:jc w:val="both"/>
    </w:pPr>
    <w:rPr>
      <w:rFonts w:cs="宋体" w:asciiTheme="minorHAnsi" w:hAnsiTheme="minorHAnsi" w:eastAsiaTheme="minorEastAsia"/>
      <w:sz w:val="24"/>
      <w:szCs w:val="22"/>
    </w:rPr>
  </w:style>
  <w:style w:type="paragraph" w:customStyle="1" w:styleId="145">
    <w:name w:val="正文表格"/>
    <w:basedOn w:val="1"/>
    <w:qFormat/>
    <w:uiPriority w:val="0"/>
    <w:pPr>
      <w:adjustRightInd w:val="0"/>
      <w:spacing w:before="40" w:after="40"/>
      <w:ind w:left="1080" w:firstLine="200" w:firstLineChars="200"/>
    </w:pPr>
    <w:rPr>
      <w:rFonts w:ascii="Times New Roman" w:hAnsi="Times New Roman" w:eastAsia="宋体"/>
      <w:kern w:val="0"/>
      <w:sz w:val="24"/>
      <w:szCs w:val="20"/>
      <w:lang w:bidi="he-IL"/>
    </w:rPr>
  </w:style>
  <w:style w:type="paragraph" w:customStyle="1" w:styleId="146">
    <w:name w:val="标题7"/>
    <w:basedOn w:val="1"/>
    <w:next w:val="1"/>
    <w:qFormat/>
    <w:uiPriority w:val="0"/>
    <w:pPr>
      <w:widowControl w:val="0"/>
      <w:spacing w:before="240" w:after="60" w:line="240" w:lineRule="auto"/>
      <w:jc w:val="center"/>
      <w:outlineLvl w:val="0"/>
    </w:pPr>
    <w:rPr>
      <w:rFonts w:ascii="Calibri Light" w:hAnsi="Calibri Light" w:eastAsia="宋体"/>
      <w:b/>
      <w:bCs/>
      <w:sz w:val="32"/>
      <w:szCs w:val="32"/>
    </w:rPr>
  </w:style>
  <w:style w:type="paragraph" w:customStyle="1" w:styleId="147">
    <w:name w:val="副标题1"/>
    <w:basedOn w:val="1"/>
    <w:next w:val="1"/>
    <w:qFormat/>
    <w:uiPriority w:val="0"/>
    <w:pPr>
      <w:widowControl w:val="0"/>
      <w:spacing w:before="240" w:after="60" w:line="312" w:lineRule="auto"/>
      <w:jc w:val="center"/>
      <w:outlineLvl w:val="1"/>
    </w:pPr>
    <w:rPr>
      <w:rFonts w:ascii="Calibri Light" w:hAnsi="Calibri Light" w:eastAsia="宋体"/>
      <w:b/>
      <w:bCs/>
      <w:kern w:val="28"/>
      <w:sz w:val="32"/>
      <w:szCs w:val="32"/>
    </w:rPr>
  </w:style>
  <w:style w:type="paragraph" w:customStyle="1" w:styleId="148">
    <w:name w:val="Char"/>
    <w:basedOn w:val="1"/>
    <w:qFormat/>
    <w:uiPriority w:val="0"/>
    <w:pPr>
      <w:widowControl w:val="0"/>
      <w:spacing w:line="240" w:lineRule="auto"/>
      <w:jc w:val="both"/>
    </w:pPr>
    <w:rPr>
      <w:rFonts w:ascii="Tahoma" w:hAnsi="Tahoma" w:eastAsia="宋体"/>
      <w:sz w:val="24"/>
      <w:szCs w:val="20"/>
    </w:rPr>
  </w:style>
  <w:style w:type="paragraph" w:customStyle="1" w:styleId="149">
    <w:name w:val="TOC 标题1"/>
    <w:basedOn w:val="2"/>
    <w:next w:val="1"/>
    <w:unhideWhenUsed/>
    <w:qFormat/>
    <w:uiPriority w:val="39"/>
    <w:pPr>
      <w:pageBreakBefore w:val="0"/>
      <w:widowControl/>
      <w:spacing w:before="240" w:after="0" w:line="259" w:lineRule="auto"/>
      <w:jc w:val="left"/>
      <w:outlineLvl w:val="9"/>
    </w:pPr>
    <w:rPr>
      <w:rFonts w:ascii="Calibri Light" w:hAnsi="Calibri Light" w:eastAsia="宋体"/>
      <w:b w:val="0"/>
      <w:bCs w:val="0"/>
      <w:color w:val="2E74B5"/>
      <w:kern w:val="0"/>
    </w:rPr>
  </w:style>
  <w:style w:type="paragraph" w:customStyle="1" w:styleId="150">
    <w:name w:val="正文（首行缩进2字符）"/>
    <w:basedOn w:val="1"/>
    <w:link w:val="151"/>
    <w:qFormat/>
    <w:uiPriority w:val="0"/>
    <w:pPr>
      <w:widowControl w:val="0"/>
      <w:ind w:firstLine="420" w:firstLineChars="200"/>
      <w:jc w:val="both"/>
    </w:pPr>
    <w:rPr>
      <w:rFonts w:ascii="Times New Roman" w:hAnsi="Times New Roman" w:eastAsia="宋体"/>
    </w:rPr>
  </w:style>
  <w:style w:type="character" w:customStyle="1" w:styleId="151">
    <w:name w:val="正文（首行缩进2字符） Char"/>
    <w:link w:val="150"/>
    <w:qFormat/>
    <w:uiPriority w:val="0"/>
    <w:rPr>
      <w:rFonts w:ascii="Times New Roman" w:hAnsi="Times New Roman" w:eastAsia="宋体" w:cs="Times New Roman"/>
      <w:szCs w:val="21"/>
    </w:rPr>
  </w:style>
  <w:style w:type="paragraph" w:customStyle="1" w:styleId="152">
    <w:name w:val="列表项目符号2"/>
    <w:basedOn w:val="1"/>
    <w:qFormat/>
    <w:uiPriority w:val="0"/>
    <w:pPr>
      <w:widowControl w:val="0"/>
      <w:tabs>
        <w:tab w:val="left" w:pos="620"/>
      </w:tabs>
      <w:adjustRightInd w:val="0"/>
      <w:jc w:val="both"/>
      <w:textAlignment w:val="baseline"/>
    </w:pPr>
    <w:rPr>
      <w:rFonts w:ascii="Times New Roman" w:hAnsi="Times New Roman" w:eastAsia="宋体"/>
      <w:kern w:val="0"/>
    </w:rPr>
  </w:style>
  <w:style w:type="paragraph" w:customStyle="1" w:styleId="153">
    <w:name w:val="Table paragraph"/>
    <w:basedOn w:val="1"/>
    <w:qFormat/>
    <w:uiPriority w:val="0"/>
    <w:pPr>
      <w:spacing w:before="60" w:after="60" w:line="220" w:lineRule="exact"/>
    </w:pPr>
    <w:rPr>
      <w:rFonts w:ascii="Franklin Gothic Medium Cond" w:hAnsi="Franklin Gothic Medium Cond" w:eastAsia="黑体"/>
      <w:kern w:val="0"/>
      <w:sz w:val="19"/>
      <w:szCs w:val="19"/>
      <w:lang w:eastAsia="en-US"/>
    </w:rPr>
  </w:style>
  <w:style w:type="paragraph" w:customStyle="1" w:styleId="154">
    <w:name w:val="（1）标志"/>
    <w:basedOn w:val="1"/>
    <w:qFormat/>
    <w:uiPriority w:val="0"/>
    <w:pPr>
      <w:widowControl w:val="0"/>
      <w:tabs>
        <w:tab w:val="left" w:pos="426"/>
      </w:tabs>
      <w:spacing w:before="100" w:after="100" w:line="240" w:lineRule="auto"/>
      <w:jc w:val="both"/>
    </w:pPr>
    <w:rPr>
      <w:rFonts w:ascii="宋体" w:hAnsi="宋体" w:eastAsia="楷体_GB2312"/>
      <w:b/>
    </w:rPr>
  </w:style>
  <w:style w:type="paragraph" w:customStyle="1" w:styleId="155">
    <w:name w:val="Body"/>
    <w:basedOn w:val="1"/>
    <w:link w:val="156"/>
    <w:qFormat/>
    <w:uiPriority w:val="0"/>
    <w:pPr>
      <w:widowControl w:val="0"/>
      <w:tabs>
        <w:tab w:val="left" w:pos="1247"/>
      </w:tabs>
      <w:spacing w:before="120" w:line="288" w:lineRule="auto"/>
      <w:ind w:left="1247" w:firstLine="454" w:firstLineChars="216"/>
      <w:jc w:val="both"/>
    </w:pPr>
    <w:rPr>
      <w:rFonts w:ascii="Arial" w:hAnsi="Arial" w:eastAsia="宋体"/>
      <w:kern w:val="32"/>
    </w:rPr>
  </w:style>
  <w:style w:type="character" w:customStyle="1" w:styleId="156">
    <w:name w:val="Body Char"/>
    <w:link w:val="155"/>
    <w:qFormat/>
    <w:uiPriority w:val="0"/>
    <w:rPr>
      <w:rFonts w:ascii="Arial" w:hAnsi="Arial" w:eastAsia="宋体" w:cs="Times New Roman"/>
      <w:kern w:val="32"/>
      <w:szCs w:val="21"/>
    </w:rPr>
  </w:style>
  <w:style w:type="paragraph" w:customStyle="1" w:styleId="157">
    <w:name w:val="NotSortedNumbering1"/>
    <w:basedOn w:val="1"/>
    <w:qFormat/>
    <w:uiPriority w:val="1"/>
    <w:pPr>
      <w:widowControl w:val="0"/>
      <w:spacing w:before="120" w:line="288" w:lineRule="auto"/>
      <w:ind w:left="1701" w:hanging="453"/>
      <w:jc w:val="both"/>
    </w:pPr>
    <w:rPr>
      <w:rFonts w:ascii="Arial" w:hAnsi="Arial" w:eastAsia="宋体"/>
      <w:kern w:val="44"/>
      <w:szCs w:val="44"/>
    </w:rPr>
  </w:style>
  <w:style w:type="paragraph" w:customStyle="1" w:styleId="158">
    <w:name w:val="PictureNote"/>
    <w:basedOn w:val="1"/>
    <w:qFormat/>
    <w:uiPriority w:val="1"/>
    <w:pPr>
      <w:widowControl w:val="0"/>
      <w:spacing w:before="480" w:after="120" w:line="240" w:lineRule="auto"/>
      <w:ind w:left="1587" w:hanging="340"/>
    </w:pPr>
    <w:rPr>
      <w:rFonts w:ascii="Arial" w:hAnsi="Arial" w:eastAsia="宋体"/>
      <w:kern w:val="44"/>
      <w:sz w:val="18"/>
      <w:szCs w:val="44"/>
    </w:rPr>
  </w:style>
  <w:style w:type="paragraph" w:customStyle="1" w:styleId="159">
    <w:name w:val="DocParagraph"/>
    <w:basedOn w:val="1"/>
    <w:qFormat/>
    <w:uiPriority w:val="1"/>
    <w:pPr>
      <w:widowControl w:val="0"/>
      <w:spacing w:before="120" w:line="288" w:lineRule="auto"/>
      <w:ind w:left="1247"/>
      <w:jc w:val="both"/>
    </w:pPr>
    <w:rPr>
      <w:rFonts w:ascii="Arial" w:hAnsi="Arial" w:eastAsia="宋体"/>
      <w:kern w:val="44"/>
      <w:szCs w:val="44"/>
    </w:rPr>
  </w:style>
  <w:style w:type="paragraph" w:customStyle="1" w:styleId="160">
    <w:name w:val="TableHeader"/>
    <w:qFormat/>
    <w:uiPriority w:val="1"/>
    <w:pPr>
      <w:spacing w:before="40" w:after="40"/>
      <w:jc w:val="center"/>
    </w:pPr>
    <w:rPr>
      <w:rFonts w:ascii="Arial" w:hAnsi="Arial" w:eastAsia="宋体" w:cs="Times New Roman"/>
      <w:b/>
      <w:bCs/>
      <w:kern w:val="44"/>
      <w:sz w:val="18"/>
      <w:szCs w:val="44"/>
      <w:lang w:val="en-US" w:eastAsia="zh-CN" w:bidi="ar-SA"/>
    </w:rPr>
  </w:style>
  <w:style w:type="paragraph" w:customStyle="1" w:styleId="161">
    <w:name w:val="TableContent"/>
    <w:qFormat/>
    <w:uiPriority w:val="1"/>
    <w:pPr>
      <w:spacing w:before="40" w:after="40"/>
      <w:jc w:val="both"/>
    </w:pPr>
    <w:rPr>
      <w:rFonts w:ascii="Arial" w:hAnsi="Arial" w:eastAsia="宋体" w:cs="Times New Roman"/>
      <w:kern w:val="44"/>
      <w:sz w:val="18"/>
      <w:szCs w:val="44"/>
      <w:lang w:val="en-US" w:eastAsia="zh-CN" w:bidi="ar-SA"/>
    </w:rPr>
  </w:style>
  <w:style w:type="paragraph" w:customStyle="1" w:styleId="162">
    <w:name w:val="表头文字"/>
    <w:basedOn w:val="1"/>
    <w:link w:val="163"/>
    <w:qFormat/>
    <w:uiPriority w:val="0"/>
    <w:pPr>
      <w:keepNext/>
      <w:spacing w:before="40" w:after="40" w:line="240" w:lineRule="auto"/>
      <w:jc w:val="center"/>
    </w:pPr>
    <w:rPr>
      <w:rFonts w:ascii="Arial" w:hAnsi="Arial" w:eastAsia="宋体"/>
      <w:b/>
      <w:sz w:val="18"/>
      <w:szCs w:val="20"/>
    </w:rPr>
  </w:style>
  <w:style w:type="character" w:customStyle="1" w:styleId="163">
    <w:name w:val="表头文字 Char"/>
    <w:link w:val="162"/>
    <w:qFormat/>
    <w:uiPriority w:val="0"/>
    <w:rPr>
      <w:rFonts w:ascii="Arial" w:hAnsi="Arial" w:eastAsia="宋体" w:cs="Times New Roman"/>
      <w:b/>
      <w:sz w:val="18"/>
      <w:szCs w:val="20"/>
    </w:rPr>
  </w:style>
  <w:style w:type="table" w:customStyle="1" w:styleId="164">
    <w:name w:val="网格型浅色1"/>
    <w:basedOn w:val="46"/>
    <w:qFormat/>
    <w:uiPriority w:val="40"/>
    <w:rPr>
      <w:rFonts w:ascii="Times New Roman" w:hAnsi="Times New Roman" w:eastAsia="宋体" w:cs="Times New Roman"/>
      <w:kern w:val="0"/>
      <w:sz w:val="20"/>
    </w:rPr>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paragraph" w:customStyle="1" w:styleId="165">
    <w:name w:val="常规"/>
    <w:basedOn w:val="1"/>
    <w:link w:val="166"/>
    <w:qFormat/>
    <w:uiPriority w:val="0"/>
    <w:pPr>
      <w:widowControl w:val="0"/>
      <w:spacing w:beforeLines="100" w:afterLines="100" w:line="240" w:lineRule="auto"/>
      <w:ind w:left="1134"/>
      <w:jc w:val="both"/>
    </w:pPr>
    <w:rPr>
      <w:rFonts w:ascii="Times New Roman" w:hAnsi="Times New Roman" w:eastAsia="宋体"/>
    </w:rPr>
  </w:style>
  <w:style w:type="character" w:customStyle="1" w:styleId="166">
    <w:name w:val="常规 Char"/>
    <w:link w:val="165"/>
    <w:qFormat/>
    <w:uiPriority w:val="0"/>
    <w:rPr>
      <w:rFonts w:ascii="Times New Roman" w:hAnsi="Times New Roman" w:eastAsia="宋体" w:cs="Times New Roman"/>
      <w:szCs w:val="21"/>
    </w:rPr>
  </w:style>
  <w:style w:type="paragraph" w:customStyle="1" w:styleId="167">
    <w:name w:val="Style First line:  0.5&quot;"/>
    <w:basedOn w:val="1"/>
    <w:qFormat/>
    <w:uiPriority w:val="0"/>
    <w:pPr>
      <w:ind w:firstLine="720"/>
    </w:pPr>
    <w:rPr>
      <w:rFonts w:ascii="Times New Roman" w:hAnsi="Times New Roman" w:eastAsia="宋体"/>
      <w:kern w:val="0"/>
      <w:sz w:val="24"/>
      <w:szCs w:val="20"/>
    </w:rPr>
  </w:style>
  <w:style w:type="paragraph" w:customStyle="1" w:styleId="168">
    <w:name w:val="列出段落1"/>
    <w:basedOn w:val="1"/>
    <w:qFormat/>
    <w:uiPriority w:val="0"/>
    <w:pPr>
      <w:spacing w:line="240" w:lineRule="auto"/>
      <w:ind w:left="720"/>
    </w:pPr>
    <w:rPr>
      <w:rFonts w:ascii="Arial" w:hAnsi="Arial" w:eastAsia="黑体"/>
      <w:kern w:val="0"/>
      <w:sz w:val="24"/>
      <w:szCs w:val="24"/>
      <w:lang w:eastAsia="en-US"/>
    </w:rPr>
  </w:style>
  <w:style w:type="paragraph" w:customStyle="1" w:styleId="169">
    <w:name w:val="xl8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18"/>
      <w:szCs w:val="18"/>
    </w:rPr>
  </w:style>
  <w:style w:type="paragraph" w:customStyle="1" w:styleId="170">
    <w:name w:val="xl85"/>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jc w:val="center"/>
    </w:pPr>
    <w:rPr>
      <w:rFonts w:ascii="宋体" w:hAnsi="宋体" w:eastAsia="宋体" w:cs="宋体"/>
      <w:kern w:val="0"/>
      <w:sz w:val="18"/>
      <w:szCs w:val="18"/>
    </w:rPr>
  </w:style>
  <w:style w:type="paragraph" w:customStyle="1" w:styleId="171">
    <w:name w:val="xl8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line="240" w:lineRule="auto"/>
    </w:pPr>
    <w:rPr>
      <w:rFonts w:ascii="宋体" w:hAnsi="宋体" w:eastAsia="宋体" w:cs="宋体"/>
      <w:kern w:val="0"/>
      <w:sz w:val="18"/>
      <w:szCs w:val="18"/>
    </w:rPr>
  </w:style>
  <w:style w:type="paragraph" w:customStyle="1" w:styleId="172">
    <w:name w:val="xl88"/>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pPr>
    <w:rPr>
      <w:rFonts w:ascii="宋体" w:hAnsi="宋体" w:eastAsia="宋体" w:cs="宋体"/>
      <w:kern w:val="0"/>
      <w:sz w:val="18"/>
      <w:szCs w:val="18"/>
    </w:rPr>
  </w:style>
  <w:style w:type="paragraph" w:customStyle="1" w:styleId="173">
    <w:name w:val="xl89"/>
    <w:basedOn w:val="1"/>
    <w:qFormat/>
    <w:uiPriority w:val="0"/>
    <w:pPr>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pPr>
    <w:rPr>
      <w:rFonts w:ascii="宋体" w:hAnsi="宋体" w:eastAsia="宋体" w:cs="宋体"/>
      <w:color w:val="FF0000"/>
      <w:kern w:val="0"/>
      <w:sz w:val="18"/>
      <w:szCs w:val="18"/>
    </w:rPr>
  </w:style>
  <w:style w:type="paragraph" w:customStyle="1" w:styleId="174">
    <w:name w:val="font1"/>
    <w:basedOn w:val="1"/>
    <w:qFormat/>
    <w:uiPriority w:val="0"/>
    <w:pPr>
      <w:spacing w:before="100" w:beforeAutospacing="1" w:after="100" w:afterAutospacing="1" w:line="240" w:lineRule="auto"/>
    </w:pPr>
    <w:rPr>
      <w:rFonts w:ascii="宋体" w:hAnsi="宋体" w:eastAsia="宋体" w:cs="宋体"/>
      <w:kern w:val="0"/>
      <w:sz w:val="24"/>
      <w:szCs w:val="24"/>
    </w:rPr>
  </w:style>
  <w:style w:type="paragraph" w:customStyle="1" w:styleId="175">
    <w:name w:val="font5"/>
    <w:basedOn w:val="1"/>
    <w:qFormat/>
    <w:uiPriority w:val="0"/>
    <w:pPr>
      <w:spacing w:before="100" w:beforeAutospacing="1" w:after="100" w:afterAutospacing="1" w:line="240" w:lineRule="auto"/>
    </w:pPr>
    <w:rPr>
      <w:rFonts w:ascii="宋体" w:hAnsi="宋体" w:eastAsia="宋体" w:cs="宋体"/>
      <w:kern w:val="0"/>
      <w:sz w:val="18"/>
      <w:szCs w:val="18"/>
    </w:rPr>
  </w:style>
  <w:style w:type="paragraph" w:customStyle="1" w:styleId="176">
    <w:name w:val="xl84"/>
    <w:basedOn w:val="1"/>
    <w:qFormat/>
    <w:uiPriority w:val="0"/>
    <w:pPr>
      <w:spacing w:before="100" w:beforeAutospacing="1" w:after="100" w:afterAutospacing="1" w:line="240" w:lineRule="auto"/>
      <w:jc w:val="center"/>
    </w:pPr>
    <w:rPr>
      <w:rFonts w:ascii="宋体" w:hAnsi="宋体" w:eastAsia="宋体" w:cs="宋体"/>
      <w:kern w:val="0"/>
      <w:sz w:val="24"/>
      <w:szCs w:val="24"/>
    </w:rPr>
  </w:style>
  <w:style w:type="paragraph" w:customStyle="1" w:styleId="177">
    <w:name w:val="xl91"/>
    <w:basedOn w:val="1"/>
    <w:qFormat/>
    <w:uiPriority w:val="0"/>
    <w:pPr>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line="240" w:lineRule="auto"/>
    </w:pPr>
    <w:rPr>
      <w:rFonts w:ascii="宋体" w:hAnsi="宋体" w:eastAsia="宋体" w:cs="宋体"/>
      <w:kern w:val="0"/>
      <w:sz w:val="18"/>
      <w:szCs w:val="18"/>
    </w:rPr>
  </w:style>
  <w:style w:type="paragraph" w:customStyle="1" w:styleId="178">
    <w:name w:val="xl90"/>
    <w:basedOn w:val="1"/>
    <w:qFormat/>
    <w:uiPriority w:val="0"/>
    <w:pPr>
      <w:pBdr>
        <w:top w:val="single" w:color="auto" w:sz="4" w:space="0"/>
        <w:left w:val="single" w:color="auto" w:sz="4" w:space="0"/>
        <w:bottom w:val="single" w:color="auto" w:sz="4" w:space="0"/>
        <w:right w:val="single" w:color="auto" w:sz="4" w:space="0"/>
      </w:pBdr>
      <w:shd w:val="clear" w:color="000000" w:fill="339966"/>
      <w:spacing w:before="100" w:beforeAutospacing="1" w:after="100" w:afterAutospacing="1" w:line="240" w:lineRule="auto"/>
    </w:pPr>
    <w:rPr>
      <w:rFonts w:ascii="宋体" w:hAnsi="宋体" w:eastAsia="宋体" w:cs="宋体"/>
      <w:kern w:val="0"/>
      <w:sz w:val="18"/>
      <w:szCs w:val="18"/>
    </w:rPr>
  </w:style>
  <w:style w:type="paragraph" w:customStyle="1" w:styleId="179">
    <w:name w:val="xl93"/>
    <w:basedOn w:val="1"/>
    <w:qFormat/>
    <w:uiPriority w:val="0"/>
    <w:pPr>
      <w:pBdr>
        <w:top w:val="single" w:color="auto" w:sz="4" w:space="0"/>
        <w:left w:val="single" w:color="auto" w:sz="4" w:space="0"/>
        <w:bottom w:val="single" w:color="auto" w:sz="4" w:space="0"/>
        <w:right w:val="single" w:color="auto" w:sz="4" w:space="0"/>
      </w:pBdr>
      <w:shd w:val="clear" w:color="000000" w:fill="FF99CC"/>
      <w:spacing w:before="100" w:beforeAutospacing="1" w:after="100" w:afterAutospacing="1" w:line="240" w:lineRule="auto"/>
    </w:pPr>
    <w:rPr>
      <w:rFonts w:ascii="宋体" w:hAnsi="宋体" w:eastAsia="宋体" w:cs="宋体"/>
      <w:kern w:val="0"/>
      <w:sz w:val="18"/>
      <w:szCs w:val="18"/>
    </w:rPr>
  </w:style>
  <w:style w:type="paragraph" w:customStyle="1" w:styleId="180">
    <w:name w:val="xl9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pPr>
    <w:rPr>
      <w:rFonts w:ascii="宋体" w:hAnsi="宋体" w:eastAsia="宋体" w:cs="宋体"/>
      <w:kern w:val="0"/>
      <w:sz w:val="18"/>
      <w:szCs w:val="18"/>
    </w:rPr>
  </w:style>
  <w:style w:type="paragraph" w:customStyle="1" w:styleId="181">
    <w:name w:val="xl92"/>
    <w:basedOn w:val="1"/>
    <w:qFormat/>
    <w:uiPriority w:val="0"/>
    <w:pPr>
      <w:pBdr>
        <w:top w:val="single" w:color="auto" w:sz="4" w:space="0"/>
        <w:left w:val="single" w:color="auto" w:sz="4" w:space="0"/>
        <w:bottom w:val="single" w:color="auto" w:sz="4" w:space="0"/>
        <w:right w:val="single" w:color="auto" w:sz="4" w:space="0"/>
      </w:pBdr>
      <w:shd w:val="clear" w:color="000000" w:fill="CC99FF"/>
      <w:spacing w:before="100" w:beforeAutospacing="1" w:after="100" w:afterAutospacing="1" w:line="240" w:lineRule="auto"/>
    </w:pPr>
    <w:rPr>
      <w:rFonts w:ascii="宋体" w:hAnsi="宋体" w:eastAsia="宋体" w:cs="宋体"/>
      <w:color w:val="0000FF"/>
      <w:kern w:val="0"/>
      <w:sz w:val="18"/>
      <w:szCs w:val="18"/>
    </w:rPr>
  </w:style>
  <w:style w:type="paragraph" w:customStyle="1" w:styleId="182">
    <w:name w:val="xl95"/>
    <w:basedOn w:val="1"/>
    <w:qFormat/>
    <w:uiPriority w:val="0"/>
    <w:pPr>
      <w:pBdr>
        <w:top w:val="single" w:color="auto" w:sz="4" w:space="0"/>
        <w:left w:val="single" w:color="auto" w:sz="4" w:space="0"/>
        <w:bottom w:val="single" w:color="auto" w:sz="4" w:space="0"/>
        <w:right w:val="single" w:color="auto" w:sz="4" w:space="0"/>
      </w:pBdr>
      <w:shd w:val="clear" w:color="000000" w:fill="FF00FF"/>
      <w:spacing w:before="100" w:beforeAutospacing="1" w:after="100" w:afterAutospacing="1" w:line="240" w:lineRule="auto"/>
    </w:pPr>
    <w:rPr>
      <w:rFonts w:ascii="宋体" w:hAnsi="宋体" w:eastAsia="宋体" w:cs="宋体"/>
      <w:kern w:val="0"/>
      <w:sz w:val="18"/>
      <w:szCs w:val="18"/>
    </w:rPr>
  </w:style>
  <w:style w:type="paragraph" w:customStyle="1" w:styleId="183">
    <w:name w:val="xl96"/>
    <w:basedOn w:val="1"/>
    <w:qFormat/>
    <w:uiPriority w:val="0"/>
    <w:pPr>
      <w:pBdr>
        <w:top w:val="single" w:color="auto" w:sz="4" w:space="0"/>
        <w:left w:val="single" w:color="auto" w:sz="4" w:space="0"/>
        <w:bottom w:val="single" w:color="auto" w:sz="4" w:space="0"/>
        <w:right w:val="single" w:color="auto" w:sz="4" w:space="0"/>
      </w:pBdr>
      <w:shd w:val="clear" w:color="000000" w:fill="008080"/>
      <w:spacing w:before="100" w:beforeAutospacing="1" w:after="100" w:afterAutospacing="1" w:line="240" w:lineRule="auto"/>
    </w:pPr>
    <w:rPr>
      <w:rFonts w:ascii="宋体" w:hAnsi="宋体" w:eastAsia="宋体" w:cs="宋体"/>
      <w:kern w:val="0"/>
      <w:sz w:val="18"/>
      <w:szCs w:val="18"/>
    </w:rPr>
  </w:style>
  <w:style w:type="character" w:customStyle="1" w:styleId="184">
    <w:name w:val="未处理的提及1"/>
    <w:unhideWhenUsed/>
    <w:qFormat/>
    <w:uiPriority w:val="99"/>
    <w:rPr>
      <w:color w:val="808080"/>
      <w:shd w:val="clear" w:color="auto" w:fill="E6E6E6"/>
    </w:rPr>
  </w:style>
  <w:style w:type="character" w:customStyle="1" w:styleId="185">
    <w:name w:val="_正文段落 Char"/>
    <w:link w:val="186"/>
    <w:qFormat/>
    <w:locked/>
    <w:uiPriority w:val="0"/>
    <w:rPr>
      <w:rFonts w:ascii="宋体" w:hAnsi="宋体"/>
      <w:sz w:val="24"/>
      <w:szCs w:val="24"/>
      <w:lang w:val="zh-CN"/>
    </w:rPr>
  </w:style>
  <w:style w:type="paragraph" w:customStyle="1" w:styleId="186">
    <w:name w:val="_正文段落"/>
    <w:basedOn w:val="1"/>
    <w:link w:val="185"/>
    <w:qFormat/>
    <w:uiPriority w:val="0"/>
    <w:pPr>
      <w:widowControl w:val="0"/>
      <w:ind w:firstLine="200" w:firstLineChars="200"/>
      <w:jc w:val="both"/>
    </w:pPr>
    <w:rPr>
      <w:rFonts w:ascii="宋体" w:hAnsi="宋体" w:eastAsiaTheme="minorEastAsia" w:cstheme="minorBidi"/>
      <w:sz w:val="24"/>
      <w:szCs w:val="24"/>
      <w:lang w:val="zh-CN"/>
    </w:rPr>
  </w:style>
  <w:style w:type="character" w:customStyle="1" w:styleId="187">
    <w:name w:val="智业正文 Char"/>
    <w:link w:val="188"/>
    <w:qFormat/>
    <w:locked/>
    <w:uiPriority w:val="0"/>
    <w:rPr>
      <w:rFonts w:ascii="宋体" w:hAnsi="宋体"/>
      <w:sz w:val="24"/>
      <w:szCs w:val="24"/>
    </w:rPr>
  </w:style>
  <w:style w:type="paragraph" w:customStyle="1" w:styleId="188">
    <w:name w:val="智业正文"/>
    <w:basedOn w:val="97"/>
    <w:link w:val="187"/>
    <w:qFormat/>
    <w:uiPriority w:val="0"/>
    <w:pPr>
      <w:spacing w:after="0"/>
      <w:ind w:firstLine="200" w:firstLineChars="200"/>
      <w:jc w:val="left"/>
    </w:pPr>
    <w:rPr>
      <w:rFonts w:ascii="宋体" w:hAnsi="宋体" w:eastAsiaTheme="minorEastAsia" w:cstheme="minorBidi"/>
      <w:szCs w:val="24"/>
    </w:rPr>
  </w:style>
  <w:style w:type="paragraph" w:customStyle="1" w:styleId="189">
    <w:name w:val="列表段落1"/>
    <w:basedOn w:val="1"/>
    <w:link w:val="190"/>
    <w:qFormat/>
    <w:uiPriority w:val="34"/>
    <w:pPr>
      <w:widowControl w:val="0"/>
      <w:spacing w:line="240" w:lineRule="auto"/>
      <w:ind w:firstLine="420" w:firstLineChars="200"/>
      <w:jc w:val="both"/>
    </w:pPr>
    <w:rPr>
      <w:szCs w:val="22"/>
    </w:rPr>
  </w:style>
  <w:style w:type="character" w:customStyle="1" w:styleId="190">
    <w:name w:val="列出段落 Char"/>
    <w:link w:val="189"/>
    <w:qFormat/>
    <w:uiPriority w:val="34"/>
    <w:rPr>
      <w:rFonts w:ascii="等线" w:hAnsi="等线" w:eastAsia="等线" w:cs="Times New Roman"/>
    </w:rPr>
  </w:style>
  <w:style w:type="character" w:customStyle="1" w:styleId="191">
    <w:name w:val="未处理的提及2"/>
    <w:unhideWhenUsed/>
    <w:qFormat/>
    <w:uiPriority w:val="99"/>
    <w:rPr>
      <w:color w:val="605E5C"/>
      <w:shd w:val="clear" w:color="auto" w:fill="E1DFDD"/>
    </w:rPr>
  </w:style>
  <w:style w:type="paragraph" w:customStyle="1" w:styleId="192">
    <w:name w:val="表格题注"/>
    <w:next w:val="1"/>
    <w:qFormat/>
    <w:uiPriority w:val="0"/>
    <w:pPr>
      <w:keepLines/>
      <w:spacing w:beforeLines="100"/>
      <w:jc w:val="center"/>
    </w:pPr>
    <w:rPr>
      <w:rFonts w:ascii="Arial" w:hAnsi="Arial" w:eastAsia="宋体" w:cs="Times New Roman"/>
      <w:kern w:val="0"/>
      <w:sz w:val="18"/>
      <w:szCs w:val="18"/>
      <w:lang w:val="en-US" w:eastAsia="zh-CN" w:bidi="ar-SA"/>
    </w:rPr>
  </w:style>
  <w:style w:type="paragraph" w:customStyle="1" w:styleId="193">
    <w:name w:val="表格文本"/>
    <w:qFormat/>
    <w:uiPriority w:val="0"/>
    <w:pPr>
      <w:tabs>
        <w:tab w:val="decimal" w:pos="0"/>
      </w:tabs>
    </w:pPr>
    <w:rPr>
      <w:rFonts w:ascii="Arial" w:hAnsi="Arial" w:eastAsia="宋体" w:cs="Times New Roman"/>
      <w:kern w:val="0"/>
      <w:sz w:val="21"/>
      <w:szCs w:val="21"/>
      <w:lang w:val="en-US" w:eastAsia="zh-CN" w:bidi="ar-SA"/>
    </w:rPr>
  </w:style>
  <w:style w:type="paragraph" w:customStyle="1" w:styleId="194">
    <w:name w:val="表头文本"/>
    <w:qFormat/>
    <w:uiPriority w:val="0"/>
    <w:pPr>
      <w:jc w:val="center"/>
    </w:pPr>
    <w:rPr>
      <w:rFonts w:ascii="Arial" w:hAnsi="Arial" w:eastAsia="宋体" w:cs="Times New Roman"/>
      <w:b/>
      <w:kern w:val="0"/>
      <w:sz w:val="21"/>
      <w:szCs w:val="21"/>
      <w:lang w:val="en-US" w:eastAsia="zh-CN" w:bidi="ar-SA"/>
    </w:rPr>
  </w:style>
  <w:style w:type="table" w:customStyle="1" w:styleId="195">
    <w:name w:val="表样式"/>
    <w:basedOn w:val="46"/>
    <w:qFormat/>
    <w:uiPriority w:val="0"/>
    <w:pPr>
      <w:jc w:val="both"/>
    </w:pPr>
    <w:rPr>
      <w:rFonts w:ascii="Times New Roman" w:hAnsi="Times New Roman" w:eastAsia="宋体" w:cs="Times New Roman"/>
      <w:kern w:val="0"/>
      <w:sz w:val="18"/>
      <w:szCs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auto"/>
      <w:vAlign w:val="center"/>
    </w:tcPr>
  </w:style>
  <w:style w:type="paragraph" w:customStyle="1" w:styleId="196">
    <w:name w:val="插图题注"/>
    <w:next w:val="1"/>
    <w:qFormat/>
    <w:uiPriority w:val="0"/>
    <w:pPr>
      <w:spacing w:afterLines="100"/>
      <w:jc w:val="center"/>
    </w:pPr>
    <w:rPr>
      <w:rFonts w:ascii="Arial" w:hAnsi="Arial" w:eastAsia="宋体" w:cs="Times New Roman"/>
      <w:kern w:val="0"/>
      <w:sz w:val="18"/>
      <w:szCs w:val="18"/>
      <w:lang w:val="en-US" w:eastAsia="zh-CN" w:bidi="ar-SA"/>
    </w:rPr>
  </w:style>
  <w:style w:type="paragraph" w:customStyle="1" w:styleId="197">
    <w:name w:val="图样式"/>
    <w:basedOn w:val="1"/>
    <w:link w:val="198"/>
    <w:qFormat/>
    <w:uiPriority w:val="0"/>
    <w:pPr>
      <w:keepNext/>
      <w:autoSpaceDE w:val="0"/>
      <w:autoSpaceDN w:val="0"/>
      <w:adjustRightInd w:val="0"/>
      <w:spacing w:before="80" w:after="80"/>
      <w:jc w:val="center"/>
    </w:pPr>
    <w:rPr>
      <w:rFonts w:ascii="Times New Roman" w:hAnsi="Times New Roman" w:eastAsia="宋体"/>
      <w:snapToGrid w:val="0"/>
      <w:kern w:val="0"/>
    </w:rPr>
  </w:style>
  <w:style w:type="character" w:customStyle="1" w:styleId="198">
    <w:name w:val="图样式 Char"/>
    <w:link w:val="197"/>
    <w:qFormat/>
    <w:uiPriority w:val="0"/>
    <w:rPr>
      <w:rFonts w:ascii="Times New Roman" w:hAnsi="Times New Roman" w:eastAsia="宋体" w:cs="Times New Roman"/>
      <w:snapToGrid w:val="0"/>
      <w:kern w:val="0"/>
      <w:szCs w:val="21"/>
    </w:rPr>
  </w:style>
  <w:style w:type="paragraph" w:customStyle="1" w:styleId="199">
    <w:name w:val="文档标题"/>
    <w:basedOn w:val="1"/>
    <w:qFormat/>
    <w:uiPriority w:val="0"/>
    <w:pPr>
      <w:widowControl w:val="0"/>
      <w:tabs>
        <w:tab w:val="left" w:pos="0"/>
      </w:tabs>
      <w:autoSpaceDE w:val="0"/>
      <w:autoSpaceDN w:val="0"/>
      <w:adjustRightInd w:val="0"/>
      <w:spacing w:before="300" w:after="300"/>
      <w:jc w:val="center"/>
    </w:pPr>
    <w:rPr>
      <w:rFonts w:ascii="Arial" w:hAnsi="Arial" w:eastAsia="黑体"/>
      <w:snapToGrid w:val="0"/>
      <w:kern w:val="0"/>
      <w:sz w:val="36"/>
      <w:szCs w:val="36"/>
    </w:rPr>
  </w:style>
  <w:style w:type="paragraph" w:customStyle="1" w:styleId="200">
    <w:name w:val="正文（首行不缩进）"/>
    <w:basedOn w:val="1"/>
    <w:qFormat/>
    <w:uiPriority w:val="0"/>
    <w:pPr>
      <w:widowControl w:val="0"/>
      <w:autoSpaceDE w:val="0"/>
      <w:autoSpaceDN w:val="0"/>
      <w:adjustRightInd w:val="0"/>
    </w:pPr>
    <w:rPr>
      <w:rFonts w:ascii="Times New Roman" w:hAnsi="Times New Roman" w:eastAsia="宋体"/>
      <w:snapToGrid w:val="0"/>
      <w:kern w:val="0"/>
    </w:rPr>
  </w:style>
  <w:style w:type="paragraph" w:customStyle="1" w:styleId="201">
    <w:name w:val="注示头"/>
    <w:basedOn w:val="1"/>
    <w:qFormat/>
    <w:uiPriority w:val="0"/>
    <w:pPr>
      <w:widowControl w:val="0"/>
      <w:pBdr>
        <w:top w:val="single" w:color="000000" w:sz="4" w:space="1"/>
      </w:pBdr>
      <w:autoSpaceDE w:val="0"/>
      <w:autoSpaceDN w:val="0"/>
      <w:adjustRightInd w:val="0"/>
      <w:jc w:val="both"/>
    </w:pPr>
    <w:rPr>
      <w:rFonts w:ascii="Arial" w:hAnsi="Arial" w:eastAsia="黑体"/>
      <w:snapToGrid w:val="0"/>
      <w:kern w:val="0"/>
      <w:sz w:val="18"/>
    </w:rPr>
  </w:style>
  <w:style w:type="paragraph" w:customStyle="1" w:styleId="202">
    <w:name w:val="注示文本"/>
    <w:basedOn w:val="1"/>
    <w:qFormat/>
    <w:uiPriority w:val="0"/>
    <w:pPr>
      <w:widowControl w:val="0"/>
      <w:pBdr>
        <w:bottom w:val="single" w:color="000000" w:sz="4" w:space="1"/>
      </w:pBdr>
      <w:autoSpaceDE w:val="0"/>
      <w:autoSpaceDN w:val="0"/>
      <w:adjustRightInd w:val="0"/>
      <w:ind w:firstLine="360"/>
      <w:jc w:val="both"/>
    </w:pPr>
    <w:rPr>
      <w:rFonts w:ascii="Arial" w:hAnsi="Arial" w:eastAsia="楷体_GB2312"/>
      <w:snapToGrid w:val="0"/>
      <w:kern w:val="0"/>
      <w:sz w:val="18"/>
      <w:szCs w:val="18"/>
    </w:rPr>
  </w:style>
  <w:style w:type="paragraph" w:customStyle="1" w:styleId="203">
    <w:name w:val="编写建议"/>
    <w:basedOn w:val="1"/>
    <w:qFormat/>
    <w:uiPriority w:val="0"/>
    <w:pPr>
      <w:widowControl w:val="0"/>
      <w:autoSpaceDE w:val="0"/>
      <w:autoSpaceDN w:val="0"/>
      <w:adjustRightInd w:val="0"/>
      <w:ind w:firstLine="420"/>
    </w:pPr>
    <w:rPr>
      <w:rFonts w:ascii="Arial" w:hAnsi="Arial" w:eastAsia="宋体" w:cs="Arial"/>
      <w:i/>
      <w:snapToGrid w:val="0"/>
      <w:color w:val="0000FF"/>
      <w:kern w:val="0"/>
    </w:rPr>
  </w:style>
  <w:style w:type="table" w:customStyle="1" w:styleId="204">
    <w:name w:val="网格型1"/>
    <w:basedOn w:val="46"/>
    <w:qFormat/>
    <w:uiPriority w:val="0"/>
    <w:pPr>
      <w:widowControl w:val="0"/>
      <w:autoSpaceDE w:val="0"/>
      <w:autoSpaceDN w:val="0"/>
      <w:adjustRightInd w:val="0"/>
      <w:spacing w:line="360" w:lineRule="auto"/>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05">
    <w:name w:val="样式一"/>
    <w:qFormat/>
    <w:uiPriority w:val="0"/>
    <w:rPr>
      <w:rFonts w:ascii="宋体" w:hAnsi="宋体"/>
      <w:b/>
      <w:bCs/>
      <w:color w:val="000000"/>
      <w:sz w:val="36"/>
    </w:rPr>
  </w:style>
  <w:style w:type="character" w:customStyle="1" w:styleId="206">
    <w:name w:val="样式二"/>
    <w:qFormat/>
    <w:uiPriority w:val="0"/>
    <w:rPr>
      <w:rFonts w:ascii="宋体" w:hAnsi="宋体"/>
      <w:color w:val="000000"/>
      <w:sz w:val="36"/>
    </w:rPr>
  </w:style>
  <w:style w:type="paragraph" w:customStyle="1" w:styleId="207">
    <w:name w:val="Heading Left"/>
    <w:basedOn w:val="1"/>
    <w:qFormat/>
    <w:uiPriority w:val="0"/>
    <w:pPr>
      <w:topLinePunct/>
      <w:adjustRightInd w:val="0"/>
      <w:snapToGrid w:val="0"/>
      <w:spacing w:line="240" w:lineRule="atLeast"/>
    </w:pPr>
    <w:rPr>
      <w:rFonts w:ascii="Times New Roman" w:hAnsi="Times New Roman" w:eastAsia="宋体" w:cs="Arial"/>
      <w:sz w:val="20"/>
      <w:szCs w:val="20"/>
    </w:rPr>
  </w:style>
  <w:style w:type="paragraph" w:customStyle="1" w:styleId="208">
    <w:name w:val="Heading Right"/>
    <w:basedOn w:val="1"/>
    <w:qFormat/>
    <w:uiPriority w:val="0"/>
    <w:pPr>
      <w:topLinePunct/>
      <w:adjustRightInd w:val="0"/>
      <w:snapToGrid w:val="0"/>
      <w:spacing w:line="240" w:lineRule="atLeast"/>
      <w:jc w:val="right"/>
    </w:pPr>
    <w:rPr>
      <w:rFonts w:ascii="Times New Roman" w:hAnsi="Times New Roman" w:eastAsia="宋体" w:cs="Arial"/>
      <w:sz w:val="20"/>
      <w:szCs w:val="20"/>
    </w:rPr>
  </w:style>
  <w:style w:type="paragraph" w:customStyle="1" w:styleId="209">
    <w:name w:val="Block Label"/>
    <w:basedOn w:val="1"/>
    <w:next w:val="1"/>
    <w:qFormat/>
    <w:uiPriority w:val="0"/>
    <w:pPr>
      <w:keepNext/>
      <w:keepLines/>
      <w:topLinePunct/>
      <w:adjustRightInd w:val="0"/>
      <w:snapToGrid w:val="0"/>
      <w:spacing w:before="300" w:after="80" w:line="240" w:lineRule="atLeast"/>
      <w:outlineLvl w:val="3"/>
    </w:pPr>
    <w:rPr>
      <w:rFonts w:ascii="Book Antiqua" w:hAnsi="Book Antiqua" w:eastAsia="黑体" w:cs="Book Antiqua"/>
      <w:bCs/>
      <w:kern w:val="0"/>
      <w:sz w:val="26"/>
      <w:szCs w:val="26"/>
    </w:rPr>
  </w:style>
  <w:style w:type="paragraph" w:customStyle="1" w:styleId="210">
    <w:name w:val="Contents"/>
    <w:basedOn w:val="1"/>
    <w:qFormat/>
    <w:uiPriority w:val="0"/>
    <w:pPr>
      <w:keepNext/>
      <w:pageBreakBefore/>
      <w:pBdr>
        <w:bottom w:val="single" w:color="auto" w:sz="12" w:space="1"/>
      </w:pBdr>
      <w:topLinePunct/>
      <w:adjustRightInd w:val="0"/>
      <w:snapToGrid w:val="0"/>
      <w:spacing w:before="1600" w:after="800" w:line="240" w:lineRule="atLeast"/>
      <w:jc w:val="right"/>
    </w:pPr>
    <w:rPr>
      <w:rFonts w:ascii="Book Antiqua" w:hAnsi="Book Antiqua" w:eastAsia="黑体" w:cs="Book Antiqua"/>
      <w:b/>
      <w:bCs/>
      <w:sz w:val="44"/>
      <w:szCs w:val="44"/>
    </w:rPr>
  </w:style>
  <w:style w:type="paragraph" w:customStyle="1" w:styleId="211">
    <w:name w:val="样式 首行缩进:  2 字符5"/>
    <w:basedOn w:val="1"/>
    <w:link w:val="212"/>
    <w:qFormat/>
    <w:uiPriority w:val="0"/>
    <w:pPr>
      <w:widowControl w:val="0"/>
      <w:spacing w:before="120"/>
      <w:ind w:firstLine="480" w:firstLineChars="200"/>
      <w:jc w:val="both"/>
    </w:pPr>
    <w:rPr>
      <w:rFonts w:ascii="Times New Roman" w:hAnsi="Times New Roman" w:eastAsia="宋体" w:cs="宋体"/>
      <w:sz w:val="24"/>
      <w:szCs w:val="20"/>
    </w:rPr>
  </w:style>
  <w:style w:type="character" w:customStyle="1" w:styleId="212">
    <w:name w:val="样式 首行缩进:  2 字符5 Char"/>
    <w:link w:val="211"/>
    <w:qFormat/>
    <w:uiPriority w:val="0"/>
    <w:rPr>
      <w:rFonts w:ascii="Times New Roman" w:hAnsi="Times New Roman" w:eastAsia="宋体" w:cs="宋体"/>
      <w:sz w:val="24"/>
      <w:szCs w:val="20"/>
    </w:rPr>
  </w:style>
  <w:style w:type="character" w:customStyle="1" w:styleId="213">
    <w:name w:val="Table Text Char1"/>
    <w:link w:val="214"/>
    <w:qFormat/>
    <w:uiPriority w:val="0"/>
    <w:rPr>
      <w:rFonts w:cs="Arial"/>
      <w:snapToGrid w:val="0"/>
    </w:rPr>
  </w:style>
  <w:style w:type="paragraph" w:customStyle="1" w:styleId="214">
    <w:name w:val="Table Text"/>
    <w:basedOn w:val="1"/>
    <w:link w:val="213"/>
    <w:qFormat/>
    <w:uiPriority w:val="0"/>
    <w:pPr>
      <w:widowControl w:val="0"/>
      <w:topLinePunct/>
      <w:adjustRightInd w:val="0"/>
      <w:snapToGrid w:val="0"/>
      <w:spacing w:before="80" w:after="80" w:line="240" w:lineRule="atLeast"/>
    </w:pPr>
    <w:rPr>
      <w:rFonts w:cs="Arial" w:asciiTheme="minorHAnsi" w:hAnsiTheme="minorHAnsi" w:eastAsiaTheme="minorEastAsia"/>
      <w:snapToGrid w:val="0"/>
      <w:szCs w:val="22"/>
    </w:rPr>
  </w:style>
  <w:style w:type="character" w:customStyle="1" w:styleId="215">
    <w:name w:val="Table Heading Char1"/>
    <w:link w:val="216"/>
    <w:qFormat/>
    <w:uiPriority w:val="0"/>
    <w:rPr>
      <w:rFonts w:ascii="Book Antiqua" w:hAnsi="Book Antiqua" w:eastAsia="黑体" w:cs="Book Antiqua"/>
      <w:bCs/>
      <w:snapToGrid w:val="0"/>
    </w:rPr>
  </w:style>
  <w:style w:type="paragraph" w:customStyle="1" w:styleId="216">
    <w:name w:val="Table Heading"/>
    <w:basedOn w:val="1"/>
    <w:link w:val="215"/>
    <w:qFormat/>
    <w:uiPriority w:val="0"/>
    <w:pPr>
      <w:keepNext/>
      <w:widowControl w:val="0"/>
      <w:topLinePunct/>
      <w:adjustRightInd w:val="0"/>
      <w:snapToGrid w:val="0"/>
      <w:spacing w:before="80" w:after="80" w:line="240" w:lineRule="atLeast"/>
    </w:pPr>
    <w:rPr>
      <w:rFonts w:ascii="Book Antiqua" w:hAnsi="Book Antiqua" w:eastAsia="黑体" w:cs="Book Antiqua"/>
      <w:bCs/>
      <w:snapToGrid w:val="0"/>
      <w:szCs w:val="22"/>
    </w:rPr>
  </w:style>
  <w:style w:type="paragraph" w:customStyle="1" w:styleId="217">
    <w:name w:val="FUNO标题3"/>
    <w:next w:val="1"/>
    <w:qFormat/>
    <w:uiPriority w:val="0"/>
    <w:pPr>
      <w:spacing w:beforeLines="50" w:afterLines="50"/>
      <w:outlineLvl w:val="2"/>
    </w:pPr>
    <w:rPr>
      <w:rFonts w:ascii="Arial Unicode MS" w:hAnsi="Arial Unicode MS" w:eastAsia="宋体" w:cs="Times New Roman"/>
      <w:b/>
      <w:kern w:val="2"/>
      <w:sz w:val="32"/>
      <w:szCs w:val="22"/>
      <w:lang w:val="en-US" w:eastAsia="zh-CN" w:bidi="ar-SA"/>
    </w:rPr>
  </w:style>
  <w:style w:type="paragraph" w:customStyle="1" w:styleId="218">
    <w:name w:val="Item List"/>
    <w:link w:val="219"/>
    <w:qFormat/>
    <w:uiPriority w:val="0"/>
    <w:pPr>
      <w:tabs>
        <w:tab w:val="left" w:pos="425"/>
      </w:tabs>
      <w:adjustRightInd w:val="0"/>
      <w:snapToGrid w:val="0"/>
      <w:spacing w:before="80" w:after="80" w:line="240" w:lineRule="atLeast"/>
    </w:pPr>
    <w:rPr>
      <w:rFonts w:ascii="Times New Roman" w:hAnsi="Times New Roman" w:eastAsia="宋体" w:cs="Arial"/>
      <w:kern w:val="2"/>
      <w:sz w:val="21"/>
      <w:szCs w:val="21"/>
      <w:lang w:val="en-US" w:eastAsia="zh-CN" w:bidi="ar-SA"/>
    </w:rPr>
  </w:style>
  <w:style w:type="character" w:customStyle="1" w:styleId="219">
    <w:name w:val="Item List Char"/>
    <w:link w:val="218"/>
    <w:qFormat/>
    <w:uiPriority w:val="0"/>
    <w:rPr>
      <w:rFonts w:ascii="Times New Roman" w:hAnsi="Times New Roman" w:eastAsia="宋体" w:cs="Arial"/>
      <w:szCs w:val="21"/>
    </w:rPr>
  </w:style>
  <w:style w:type="paragraph" w:customStyle="1" w:styleId="220">
    <w:name w:val="Default"/>
    <w:qFormat/>
    <w:uiPriority w:val="0"/>
    <w:pPr>
      <w:widowControl w:val="0"/>
      <w:autoSpaceDE w:val="0"/>
      <w:autoSpaceDN w:val="0"/>
      <w:adjustRightInd w:val="0"/>
    </w:pPr>
    <w:rPr>
      <w:rFonts w:ascii="华文细黑" w:hAnsi="Times New Roman" w:eastAsia="华文细黑" w:cs="华文细黑"/>
      <w:color w:val="000000"/>
      <w:kern w:val="0"/>
      <w:sz w:val="24"/>
      <w:szCs w:val="24"/>
      <w:lang w:val="en-US" w:eastAsia="zh-CN" w:bidi="ar-SA"/>
    </w:rPr>
  </w:style>
  <w:style w:type="paragraph" w:customStyle="1" w:styleId="221">
    <w:name w:val="software_downloadlink"/>
    <w:next w:val="86"/>
    <w:qFormat/>
    <w:uiPriority w:val="4"/>
    <w:pPr>
      <w:spacing w:beforeLines="50" w:afterLines="50"/>
    </w:pPr>
    <w:rPr>
      <w:rFonts w:ascii="Times New Roman" w:hAnsi="Times New Roman" w:eastAsia="微软雅黑" w:cs="Times New Roman"/>
      <w:iCs/>
      <w:kern w:val="0"/>
      <w:sz w:val="18"/>
      <w:szCs w:val="20"/>
      <w:lang w:val="en-US" w:eastAsia="zh-CN" w:bidi="ar-SA"/>
    </w:rPr>
  </w:style>
  <w:style w:type="paragraph" w:customStyle="1" w:styleId="222">
    <w:name w:val="list_title"/>
    <w:basedOn w:val="1"/>
    <w:qFormat/>
    <w:uiPriority w:val="12"/>
    <w:pPr>
      <w:widowControl w:val="0"/>
      <w:autoSpaceDE w:val="0"/>
      <w:autoSpaceDN w:val="0"/>
      <w:adjustRightInd w:val="0"/>
      <w:spacing w:beforeLines="50" w:afterLines="50"/>
    </w:pPr>
    <w:rPr>
      <w:rFonts w:ascii="Times New Roman" w:hAnsi="Times New Roman" w:eastAsia="宋体"/>
      <w:snapToGrid w:val="0"/>
      <w:kern w:val="0"/>
    </w:rPr>
  </w:style>
  <w:style w:type="paragraph" w:customStyle="1" w:styleId="223">
    <w:name w:val="Item List Text"/>
    <w:link w:val="224"/>
    <w:qFormat/>
    <w:uiPriority w:val="0"/>
    <w:pPr>
      <w:adjustRightInd w:val="0"/>
      <w:snapToGrid w:val="0"/>
      <w:spacing w:before="80" w:after="80" w:line="240" w:lineRule="atLeast"/>
      <w:ind w:left="2126"/>
    </w:pPr>
    <w:rPr>
      <w:rFonts w:ascii="Times New Roman" w:hAnsi="Times New Roman" w:eastAsia="宋体" w:cs="Times New Roman"/>
      <w:kern w:val="2"/>
      <w:sz w:val="21"/>
      <w:szCs w:val="21"/>
      <w:lang w:val="en-US" w:eastAsia="zh-CN" w:bidi="ar-SA"/>
    </w:rPr>
  </w:style>
  <w:style w:type="character" w:customStyle="1" w:styleId="224">
    <w:name w:val="Item List Text Char"/>
    <w:link w:val="223"/>
    <w:qFormat/>
    <w:uiPriority w:val="0"/>
    <w:rPr>
      <w:rFonts w:ascii="Times New Roman" w:hAnsi="Times New Roman" w:eastAsia="宋体" w:cs="Times New Roman"/>
      <w:szCs w:val="21"/>
    </w:rPr>
  </w:style>
  <w:style w:type="paragraph" w:customStyle="1" w:styleId="225">
    <w:name w:val="Sub Item List"/>
    <w:basedOn w:val="1"/>
    <w:qFormat/>
    <w:uiPriority w:val="0"/>
    <w:pPr>
      <w:numPr>
        <w:ilvl w:val="0"/>
        <w:numId w:val="4"/>
      </w:numPr>
      <w:tabs>
        <w:tab w:val="left" w:pos="2409"/>
      </w:tabs>
      <w:topLinePunct/>
      <w:adjustRightInd w:val="0"/>
      <w:snapToGrid w:val="0"/>
      <w:spacing w:before="80" w:after="80" w:line="240" w:lineRule="atLeast"/>
      <w:ind w:firstLine="0"/>
    </w:pPr>
    <w:rPr>
      <w:rFonts w:ascii="Times New Roman" w:hAnsi="Times New Roman" w:eastAsia="宋体" w:cs="Arial"/>
    </w:rPr>
  </w:style>
  <w:style w:type="paragraph" w:customStyle="1" w:styleId="226">
    <w:name w:val="Table Description"/>
    <w:basedOn w:val="1"/>
    <w:next w:val="1"/>
    <w:qFormat/>
    <w:uiPriority w:val="0"/>
    <w:pPr>
      <w:keepNext/>
      <w:topLinePunct/>
      <w:adjustRightInd w:val="0"/>
      <w:snapToGrid w:val="0"/>
      <w:spacing w:before="320" w:after="80" w:line="240" w:lineRule="atLeast"/>
      <w:ind w:left="1701"/>
    </w:pPr>
    <w:rPr>
      <w:rFonts w:ascii="Times New Roman" w:hAnsi="Times New Roman" w:eastAsia="黑体" w:cs="Arial"/>
      <w:spacing w:val="-4"/>
    </w:rPr>
  </w:style>
  <w:style w:type="character" w:customStyle="1" w:styleId="227">
    <w:name w:val="Table Heading Char"/>
    <w:qFormat/>
    <w:uiPriority w:val="0"/>
    <w:rPr>
      <w:rFonts w:ascii="Book Antiqua" w:hAnsi="Book Antiqua" w:eastAsia="黑体" w:cs="Book Antiqua"/>
      <w:bCs/>
      <w:snapToGrid w:val="0"/>
      <w:kern w:val="0"/>
      <w:szCs w:val="21"/>
    </w:rPr>
  </w:style>
  <w:style w:type="paragraph" w:customStyle="1" w:styleId="228">
    <w:name w:val="Figure Description"/>
    <w:next w:val="1"/>
    <w:qFormat/>
    <w:uiPriority w:val="0"/>
    <w:pPr>
      <w:keepNext/>
      <w:adjustRightInd w:val="0"/>
      <w:snapToGrid w:val="0"/>
      <w:spacing w:before="320" w:after="80" w:line="240" w:lineRule="atLeast"/>
      <w:ind w:left="1843"/>
    </w:pPr>
    <w:rPr>
      <w:rFonts w:ascii="Times New Roman" w:hAnsi="Times New Roman" w:eastAsia="黑体" w:cs="Arial"/>
      <w:spacing w:val="-4"/>
      <w:kern w:val="2"/>
      <w:sz w:val="21"/>
      <w:szCs w:val="21"/>
      <w:lang w:val="en-US" w:eastAsia="zh-CN" w:bidi="ar-SA"/>
    </w:rPr>
  </w:style>
  <w:style w:type="paragraph" w:customStyle="1" w:styleId="229">
    <w:name w:val="Item Step"/>
    <w:qFormat/>
    <w:uiPriority w:val="0"/>
    <w:pPr>
      <w:tabs>
        <w:tab w:val="left" w:pos="2126"/>
      </w:tabs>
      <w:adjustRightInd w:val="0"/>
      <w:snapToGrid w:val="0"/>
      <w:spacing w:before="80" w:after="80" w:line="240" w:lineRule="atLeast"/>
      <w:ind w:left="2126" w:hanging="425"/>
      <w:outlineLvl w:val="6"/>
    </w:pPr>
    <w:rPr>
      <w:rFonts w:ascii="Times New Roman" w:hAnsi="Times New Roman" w:eastAsia="宋体" w:cs="Arial"/>
      <w:kern w:val="0"/>
      <w:sz w:val="21"/>
      <w:szCs w:val="21"/>
      <w:lang w:val="en-US" w:eastAsia="zh-CN" w:bidi="ar-SA"/>
    </w:rPr>
  </w:style>
  <w:style w:type="paragraph" w:customStyle="1" w:styleId="230">
    <w:name w:val="Step"/>
    <w:basedOn w:val="1"/>
    <w:qFormat/>
    <w:uiPriority w:val="0"/>
    <w:pPr>
      <w:tabs>
        <w:tab w:val="left" w:pos="1701"/>
      </w:tabs>
      <w:topLinePunct/>
      <w:adjustRightInd w:val="0"/>
      <w:snapToGrid w:val="0"/>
      <w:spacing w:before="160" w:after="160" w:line="240" w:lineRule="atLeast"/>
      <w:ind w:left="1701" w:hanging="159"/>
      <w:outlineLvl w:val="5"/>
    </w:pPr>
    <w:rPr>
      <w:rFonts w:ascii="Times New Roman" w:hAnsi="Times New Roman" w:eastAsia="宋体" w:cs="Arial"/>
      <w:snapToGrid w:val="0"/>
      <w:kern w:val="0"/>
    </w:rPr>
  </w:style>
  <w:style w:type="character" w:customStyle="1" w:styleId="231">
    <w:name w:val="Table Text Char"/>
    <w:qFormat/>
    <w:uiPriority w:val="0"/>
    <w:rPr>
      <w:rFonts w:cs="Arial"/>
      <w:snapToGrid w:val="0"/>
      <w:sz w:val="21"/>
      <w:szCs w:val="21"/>
    </w:rPr>
  </w:style>
  <w:style w:type="paragraph" w:customStyle="1" w:styleId="232">
    <w:name w:val="一级编号"/>
    <w:basedOn w:val="1"/>
    <w:qFormat/>
    <w:uiPriority w:val="0"/>
    <w:pPr>
      <w:widowControl w:val="0"/>
      <w:numPr>
        <w:ilvl w:val="0"/>
        <w:numId w:val="5"/>
      </w:numPr>
      <w:tabs>
        <w:tab w:val="left" w:pos="900"/>
      </w:tabs>
      <w:spacing w:line="240" w:lineRule="auto"/>
      <w:ind w:left="900" w:hanging="360"/>
      <w:jc w:val="both"/>
    </w:pPr>
    <w:rPr>
      <w:rFonts w:ascii="仿宋_GB2312" w:hAnsi="Calibri" w:eastAsia="仿宋_GB2312"/>
      <w:b/>
      <w:sz w:val="28"/>
      <w:szCs w:val="28"/>
    </w:rPr>
  </w:style>
  <w:style w:type="character" w:customStyle="1" w:styleId="233">
    <w:name w:val="正文缩进 Char1"/>
    <w:qFormat/>
    <w:uiPriority w:val="0"/>
    <w:rPr>
      <w:rFonts w:ascii="Arial" w:hAnsi="Arial" w:eastAsia="宋体"/>
      <w:kern w:val="2"/>
      <w:sz w:val="24"/>
      <w:lang w:val="en-US" w:eastAsia="zh-CN" w:bidi="ar-SA"/>
    </w:rPr>
  </w:style>
  <w:style w:type="paragraph" w:customStyle="1" w:styleId="234">
    <w:name w:val="前言、引言标题"/>
    <w:next w:val="1"/>
    <w:qFormat/>
    <w:uiPriority w:val="0"/>
    <w:pPr>
      <w:shd w:val="clear" w:color="FFFFFF" w:fill="FFFFFF"/>
      <w:spacing w:before="640" w:after="560"/>
      <w:jc w:val="center"/>
      <w:outlineLvl w:val="0"/>
    </w:pPr>
    <w:rPr>
      <w:rFonts w:ascii="黑体" w:hAnsi="Times New Roman" w:eastAsia="黑体" w:cs="Times New Roman"/>
      <w:kern w:val="0"/>
      <w:sz w:val="32"/>
      <w:szCs w:val="20"/>
      <w:lang w:val="en-US" w:eastAsia="zh-CN" w:bidi="ar-SA"/>
    </w:rPr>
  </w:style>
  <w:style w:type="paragraph" w:customStyle="1" w:styleId="235">
    <w:name w:val="一级条标题"/>
    <w:basedOn w:val="3"/>
    <w:next w:val="1"/>
    <w:qFormat/>
    <w:uiPriority w:val="0"/>
    <w:pPr>
      <w:keepNext w:val="0"/>
      <w:keepLines w:val="0"/>
      <w:widowControl/>
      <w:spacing w:before="0" w:after="0"/>
      <w:jc w:val="both"/>
      <w:outlineLvl w:val="2"/>
    </w:pPr>
    <w:rPr>
      <w:rFonts w:ascii="黑体" w:hAnsi="Times New Roman"/>
      <w:b w:val="0"/>
      <w:bCs w:val="0"/>
      <w:kern w:val="0"/>
      <w:sz w:val="21"/>
      <w:szCs w:val="20"/>
    </w:rPr>
  </w:style>
  <w:style w:type="paragraph" w:customStyle="1" w:styleId="236">
    <w:name w:val="二级条标题"/>
    <w:basedOn w:val="235"/>
    <w:next w:val="1"/>
    <w:qFormat/>
    <w:uiPriority w:val="0"/>
    <w:pPr>
      <w:outlineLvl w:val="3"/>
    </w:pPr>
  </w:style>
  <w:style w:type="paragraph" w:customStyle="1" w:styleId="237">
    <w:name w:val="三级条标题"/>
    <w:basedOn w:val="236"/>
    <w:next w:val="1"/>
    <w:qFormat/>
    <w:uiPriority w:val="0"/>
    <w:pPr>
      <w:outlineLvl w:val="4"/>
    </w:pPr>
  </w:style>
  <w:style w:type="paragraph" w:customStyle="1" w:styleId="238">
    <w:name w:val="四级条标题"/>
    <w:basedOn w:val="237"/>
    <w:next w:val="1"/>
    <w:qFormat/>
    <w:uiPriority w:val="0"/>
    <w:pPr>
      <w:outlineLvl w:val="5"/>
    </w:pPr>
  </w:style>
  <w:style w:type="paragraph" w:customStyle="1" w:styleId="239">
    <w:name w:val="五级条标题"/>
    <w:basedOn w:val="238"/>
    <w:next w:val="1"/>
    <w:qFormat/>
    <w:uiPriority w:val="0"/>
    <w:pPr>
      <w:outlineLvl w:val="6"/>
    </w:pPr>
  </w:style>
  <w:style w:type="paragraph" w:customStyle="1" w:styleId="240">
    <w:name w:val="投标文件 正文首行缩进"/>
    <w:basedOn w:val="99"/>
    <w:link w:val="241"/>
    <w:qFormat/>
    <w:uiPriority w:val="0"/>
    <w:pPr>
      <w:autoSpaceDE/>
      <w:autoSpaceDN/>
      <w:adjustRightInd/>
      <w:spacing w:after="220"/>
      <w:ind w:left="0" w:leftChars="0" w:firstLine="200"/>
      <w:jc w:val="both"/>
    </w:pPr>
    <w:rPr>
      <w:rFonts w:ascii="Arial" w:hAnsi="Arial"/>
      <w:snapToGrid/>
      <w:kern w:val="2"/>
      <w:szCs w:val="24"/>
    </w:rPr>
  </w:style>
  <w:style w:type="character" w:customStyle="1" w:styleId="241">
    <w:name w:val="投标文件 正文首行缩进 Char"/>
    <w:link w:val="240"/>
    <w:qFormat/>
    <w:uiPriority w:val="0"/>
    <w:rPr>
      <w:rFonts w:ascii="Arial" w:hAnsi="Arial" w:eastAsia="宋体" w:cs="Times New Roman"/>
      <w:szCs w:val="24"/>
    </w:rPr>
  </w:style>
  <w:style w:type="paragraph" w:customStyle="1" w:styleId="242">
    <w:name w:val="FUNO标题1"/>
    <w:next w:val="1"/>
    <w:qFormat/>
    <w:uiPriority w:val="0"/>
    <w:pPr>
      <w:numPr>
        <w:ilvl w:val="0"/>
        <w:numId w:val="6"/>
      </w:numPr>
      <w:spacing w:beforeLines="50" w:afterLines="50"/>
      <w:jc w:val="center"/>
      <w:outlineLvl w:val="0"/>
    </w:pPr>
    <w:rPr>
      <w:rFonts w:ascii="Arial Unicode MS" w:hAnsi="Arial Unicode MS" w:eastAsia="黑体" w:cs="Times New Roman"/>
      <w:b/>
      <w:kern w:val="2"/>
      <w:sz w:val="44"/>
      <w:szCs w:val="22"/>
      <w:lang w:val="en-US" w:eastAsia="zh-CN" w:bidi="ar-SA"/>
    </w:rPr>
  </w:style>
  <w:style w:type="paragraph" w:customStyle="1" w:styleId="243">
    <w:name w:val="FUNO标题2"/>
    <w:next w:val="1"/>
    <w:qFormat/>
    <w:uiPriority w:val="0"/>
    <w:pPr>
      <w:numPr>
        <w:ilvl w:val="1"/>
        <w:numId w:val="6"/>
      </w:numPr>
      <w:spacing w:beforeLines="50" w:afterLines="50"/>
      <w:outlineLvl w:val="1"/>
    </w:pPr>
    <w:rPr>
      <w:rFonts w:ascii="Arial Unicode MS" w:hAnsi="Arial Unicode MS" w:eastAsia="宋体" w:cs="Times New Roman"/>
      <w:b/>
      <w:kern w:val="2"/>
      <w:sz w:val="36"/>
      <w:szCs w:val="22"/>
      <w:lang w:val="en-US" w:eastAsia="zh-CN" w:bidi="ar-SA"/>
    </w:rPr>
  </w:style>
  <w:style w:type="paragraph" w:customStyle="1" w:styleId="244">
    <w:name w:val="FUNO标题4"/>
    <w:next w:val="1"/>
    <w:qFormat/>
    <w:uiPriority w:val="0"/>
    <w:pPr>
      <w:spacing w:beforeLines="50" w:afterLines="50"/>
      <w:ind w:left="425" w:hanging="425"/>
      <w:outlineLvl w:val="3"/>
    </w:pPr>
    <w:rPr>
      <w:rFonts w:ascii="Arial Unicode MS" w:hAnsi="Arial Unicode MS" w:eastAsia="宋体" w:cs="Times New Roman"/>
      <w:b/>
      <w:kern w:val="2"/>
      <w:sz w:val="30"/>
      <w:szCs w:val="22"/>
      <w:lang w:val="en-US" w:eastAsia="zh-CN" w:bidi="ar-SA"/>
    </w:rPr>
  </w:style>
  <w:style w:type="character" w:customStyle="1" w:styleId="245">
    <w:name w:val="Figure Char"/>
    <w:qFormat/>
    <w:uiPriority w:val="0"/>
    <w:rPr>
      <w:rFonts w:ascii="Times New Roman" w:hAnsi="Times New Roman" w:cs="Arial"/>
      <w:kern w:val="2"/>
      <w:sz w:val="21"/>
      <w:szCs w:val="21"/>
    </w:rPr>
  </w:style>
  <w:style w:type="character" w:customStyle="1" w:styleId="246">
    <w:name w:val="正文段 Char"/>
    <w:link w:val="247"/>
    <w:qFormat/>
    <w:uiPriority w:val="0"/>
    <w:rPr>
      <w:rFonts w:ascii="宋体" w:eastAsia="楷体_GB2312"/>
      <w:sz w:val="24"/>
    </w:rPr>
  </w:style>
  <w:style w:type="paragraph" w:customStyle="1" w:styleId="247">
    <w:name w:val="正文段"/>
    <w:basedOn w:val="1"/>
    <w:link w:val="246"/>
    <w:qFormat/>
    <w:uiPriority w:val="0"/>
    <w:pPr>
      <w:adjustRightInd w:val="0"/>
      <w:spacing w:after="240" w:line="360" w:lineRule="atLeast"/>
      <w:ind w:firstLine="454"/>
      <w:jc w:val="both"/>
      <w:textAlignment w:val="bottom"/>
    </w:pPr>
    <w:rPr>
      <w:rFonts w:ascii="宋体" w:eastAsia="楷体_GB2312" w:hAnsiTheme="minorHAnsi" w:cstheme="minorBidi"/>
      <w:sz w:val="24"/>
      <w:szCs w:val="22"/>
    </w:rPr>
  </w:style>
  <w:style w:type="character" w:customStyle="1" w:styleId="248">
    <w:name w:val="tpc_content1"/>
    <w:qFormat/>
    <w:uiPriority w:val="0"/>
    <w:rPr>
      <w:sz w:val="20"/>
      <w:szCs w:val="20"/>
    </w:rPr>
  </w:style>
  <w:style w:type="character" w:customStyle="1" w:styleId="249">
    <w:name w:val="font71"/>
    <w:qFormat/>
    <w:uiPriority w:val="0"/>
    <w:rPr>
      <w:rFonts w:hint="eastAsia" w:ascii="宋体" w:hAnsi="宋体" w:eastAsia="宋体" w:cs="宋体"/>
      <w:color w:val="000000"/>
      <w:sz w:val="18"/>
      <w:szCs w:val="18"/>
      <w:u w:val="none"/>
      <w:vertAlign w:val="superscript"/>
    </w:rPr>
  </w:style>
  <w:style w:type="character" w:customStyle="1" w:styleId="250">
    <w:name w:val="font121"/>
    <w:qFormat/>
    <w:uiPriority w:val="0"/>
    <w:rPr>
      <w:rFonts w:hint="eastAsia" w:ascii="宋体" w:hAnsi="宋体" w:eastAsia="宋体" w:cs="宋体"/>
      <w:color w:val="000000"/>
      <w:sz w:val="18"/>
      <w:szCs w:val="18"/>
      <w:u w:val="none"/>
    </w:rPr>
  </w:style>
  <w:style w:type="character" w:customStyle="1" w:styleId="251">
    <w:name w:val="font61"/>
    <w:qFormat/>
    <w:uiPriority w:val="0"/>
    <w:rPr>
      <w:rFonts w:hint="eastAsia" w:ascii="宋体" w:hAnsi="宋体" w:eastAsia="宋体" w:cs="宋体"/>
      <w:color w:val="000000"/>
      <w:sz w:val="18"/>
      <w:szCs w:val="18"/>
      <w:u w:val="none"/>
    </w:rPr>
  </w:style>
  <w:style w:type="character" w:customStyle="1" w:styleId="252">
    <w:name w:val="font112"/>
    <w:qFormat/>
    <w:uiPriority w:val="0"/>
    <w:rPr>
      <w:rFonts w:hint="eastAsia" w:ascii="宋体" w:hAnsi="宋体" w:eastAsia="宋体" w:cs="宋体"/>
      <w:b/>
      <w:color w:val="000000"/>
      <w:sz w:val="18"/>
      <w:szCs w:val="18"/>
      <w:u w:val="none"/>
    </w:rPr>
  </w:style>
  <w:style w:type="character" w:customStyle="1" w:styleId="253">
    <w:name w:val="font01"/>
    <w:qFormat/>
    <w:uiPriority w:val="0"/>
    <w:rPr>
      <w:rFonts w:hint="eastAsia" w:ascii="宋体" w:hAnsi="宋体" w:eastAsia="宋体" w:cs="宋体"/>
      <w:b/>
      <w:color w:val="000000"/>
      <w:sz w:val="18"/>
      <w:szCs w:val="18"/>
      <w:u w:val="none"/>
    </w:rPr>
  </w:style>
  <w:style w:type="paragraph" w:customStyle="1" w:styleId="254">
    <w:name w:val="并列样式"/>
    <w:basedOn w:val="1"/>
    <w:qFormat/>
    <w:uiPriority w:val="0"/>
    <w:pPr>
      <w:widowControl w:val="0"/>
      <w:spacing w:before="100" w:beforeAutospacing="1" w:after="100" w:afterAutospacing="1"/>
      <w:ind w:firstLine="540" w:firstLineChars="225"/>
      <w:jc w:val="both"/>
    </w:pPr>
    <w:rPr>
      <w:rFonts w:ascii="宋体" w:hAnsi="宋体" w:eastAsia="宋体" w:cs="Arial"/>
      <w:sz w:val="24"/>
      <w:szCs w:val="24"/>
    </w:rPr>
  </w:style>
  <w:style w:type="paragraph" w:customStyle="1" w:styleId="255">
    <w:name w:val="Char Char Char Char Char Char Char1"/>
    <w:basedOn w:val="1"/>
    <w:qFormat/>
    <w:uiPriority w:val="0"/>
    <w:pPr>
      <w:snapToGrid w:val="0"/>
      <w:spacing w:after="160"/>
    </w:pPr>
    <w:rPr>
      <w:rFonts w:ascii="Times New Roman" w:hAnsi="Times New Roman" w:eastAsia="宋体"/>
      <w:kern w:val="0"/>
      <w:sz w:val="24"/>
      <w:szCs w:val="24"/>
      <w:lang w:eastAsia="en-US"/>
    </w:rPr>
  </w:style>
  <w:style w:type="paragraph" w:customStyle="1" w:styleId="256">
    <w:name w:val="样式十二"/>
    <w:basedOn w:val="2"/>
    <w:qFormat/>
    <w:uiPriority w:val="0"/>
    <w:pPr>
      <w:pageBreakBefore w:val="0"/>
      <w:numPr>
        <w:numId w:val="7"/>
      </w:numPr>
      <w:tabs>
        <w:tab w:val="left" w:pos="567"/>
      </w:tabs>
      <w:spacing w:before="0" w:after="0"/>
      <w:jc w:val="left"/>
      <w:outlineLvl w:val="1"/>
    </w:pPr>
    <w:rPr>
      <w:rFonts w:ascii="宋体" w:hAnsi="宋体" w:eastAsia="宋体" w:cs="Arial"/>
      <w:b w:val="0"/>
      <w:bCs w:val="0"/>
      <w:sz w:val="24"/>
      <w:szCs w:val="24"/>
    </w:rPr>
  </w:style>
  <w:style w:type="paragraph" w:customStyle="1" w:styleId="257">
    <w:name w:val="1.正文"/>
    <w:qFormat/>
    <w:uiPriority w:val="0"/>
    <w:pPr>
      <w:widowControl w:val="0"/>
      <w:adjustRightInd w:val="0"/>
      <w:spacing w:line="360" w:lineRule="auto"/>
      <w:ind w:firstLine="397"/>
      <w:jc w:val="both"/>
      <w:textAlignment w:val="baseline"/>
    </w:pPr>
    <w:rPr>
      <w:rFonts w:ascii="Times New Roman" w:hAnsi="Times New Roman" w:eastAsia="宋体" w:cs="Times New Roman"/>
      <w:spacing w:val="20"/>
      <w:kern w:val="0"/>
      <w:sz w:val="24"/>
      <w:szCs w:val="20"/>
      <w:lang w:val="en-US" w:eastAsia="zh-CN" w:bidi="ar-SA"/>
    </w:rPr>
  </w:style>
  <w:style w:type="paragraph" w:customStyle="1" w:styleId="258">
    <w:name w:val="text"/>
    <w:basedOn w:val="1"/>
    <w:qFormat/>
    <w:uiPriority w:val="0"/>
    <w:pPr>
      <w:spacing w:before="100" w:beforeAutospacing="1" w:after="100" w:afterAutospacing="1" w:line="240" w:lineRule="auto"/>
    </w:pPr>
    <w:rPr>
      <w:rFonts w:ascii="Calibri" w:hAnsi="Calibri" w:eastAsia="Arial Unicode MS" w:cs="Arial Unicode MS"/>
      <w:color w:val="000000"/>
      <w:kern w:val="0"/>
      <w:sz w:val="24"/>
      <w:szCs w:val="24"/>
    </w:rPr>
  </w:style>
  <w:style w:type="character" w:customStyle="1" w:styleId="259">
    <w:name w:val="样式 正文缩进 + 首行缩进:  2 字符 Char"/>
    <w:qFormat/>
    <w:uiPriority w:val="0"/>
    <w:rPr>
      <w:rFonts w:ascii="宋体" w:hAnsi="宋体" w:cs="宋体"/>
      <w:kern w:val="0"/>
      <w:sz w:val="24"/>
    </w:rPr>
  </w:style>
  <w:style w:type="paragraph" w:customStyle="1" w:styleId="260">
    <w:name w:val="正文缩进_0"/>
    <w:basedOn w:val="1"/>
    <w:link w:val="261"/>
    <w:qFormat/>
    <w:uiPriority w:val="0"/>
    <w:pPr>
      <w:spacing w:line="240" w:lineRule="auto"/>
      <w:ind w:firstLine="420"/>
    </w:pPr>
    <w:rPr>
      <w:rFonts w:ascii="Calibri" w:hAnsi="Calibri" w:eastAsia="宋体" w:cs="宋体"/>
      <w:kern w:val="0"/>
      <w:sz w:val="24"/>
      <w:szCs w:val="24"/>
    </w:rPr>
  </w:style>
  <w:style w:type="character" w:customStyle="1" w:styleId="261">
    <w:name w:val="正文缩进 Char_0"/>
    <w:link w:val="260"/>
    <w:qFormat/>
    <w:uiPriority w:val="0"/>
    <w:rPr>
      <w:rFonts w:ascii="Calibri" w:hAnsi="Calibri" w:eastAsia="宋体" w:cs="宋体"/>
      <w:kern w:val="0"/>
      <w:sz w:val="24"/>
      <w:szCs w:val="24"/>
    </w:rPr>
  </w:style>
  <w:style w:type="paragraph" w:customStyle="1" w:styleId="262">
    <w:name w:val="cxLevel4"/>
    <w:basedOn w:val="5"/>
    <w:qFormat/>
    <w:uiPriority w:val="0"/>
    <w:pPr>
      <w:widowControl/>
      <w:spacing w:before="140" w:after="140" w:line="360" w:lineRule="auto"/>
      <w:ind w:left="2160" w:hanging="420"/>
      <w:jc w:val="left"/>
    </w:pPr>
    <w:rPr>
      <w:rFonts w:ascii="黑体" w:hAnsi="黑体" w:eastAsia="宋体" w:cs="宋体"/>
      <w:sz w:val="28"/>
      <w:szCs w:val="24"/>
    </w:rPr>
  </w:style>
  <w:style w:type="paragraph" w:customStyle="1" w:styleId="263">
    <w:name w:val="自定义标题1"/>
    <w:basedOn w:val="2"/>
    <w:next w:val="1"/>
    <w:qFormat/>
    <w:uiPriority w:val="0"/>
    <w:pPr>
      <w:pageBreakBefore w:val="0"/>
      <w:widowControl/>
      <w:tabs>
        <w:tab w:val="left" w:pos="567"/>
      </w:tabs>
      <w:spacing w:before="240" w:after="240" w:line="576" w:lineRule="auto"/>
      <w:ind w:left="567" w:hanging="567"/>
      <w:jc w:val="left"/>
    </w:pPr>
    <w:rPr>
      <w:rFonts w:ascii="宋体" w:hAnsi="宋体" w:eastAsia="宋体" w:cs="宋体"/>
      <w:color w:val="auto"/>
      <w:sz w:val="44"/>
      <w:szCs w:val="44"/>
    </w:rPr>
  </w:style>
  <w:style w:type="character" w:customStyle="1" w:styleId="264">
    <w:name w:val="未处理的提及3"/>
    <w:unhideWhenUsed/>
    <w:qFormat/>
    <w:uiPriority w:val="99"/>
    <w:rPr>
      <w:color w:val="605E5C"/>
      <w:shd w:val="clear" w:color="auto" w:fill="E1DFDD"/>
    </w:rPr>
  </w:style>
  <w:style w:type="character" w:customStyle="1" w:styleId="265">
    <w:name w:val="标题 字符1"/>
    <w:qFormat/>
    <w:uiPriority w:val="0"/>
    <w:rPr>
      <w:rFonts w:ascii="等线 Light" w:hAnsi="等线 Light" w:eastAsia="等线 Light" w:cs="Times New Roman"/>
      <w:b/>
      <w:bCs/>
      <w:sz w:val="32"/>
      <w:szCs w:val="32"/>
    </w:rPr>
  </w:style>
  <w:style w:type="character" w:customStyle="1" w:styleId="266">
    <w:name w:val="副标题 字符1"/>
    <w:qFormat/>
    <w:uiPriority w:val="0"/>
    <w:rPr>
      <w:b/>
      <w:bCs/>
      <w:kern w:val="28"/>
      <w:sz w:val="32"/>
      <w:szCs w:val="32"/>
    </w:rPr>
  </w:style>
  <w:style w:type="paragraph" w:customStyle="1" w:styleId="267">
    <w:name w:val="RFI Heading 3rd Level"/>
    <w:basedOn w:val="1"/>
    <w:qFormat/>
    <w:uiPriority w:val="0"/>
    <w:pPr>
      <w:numPr>
        <w:ilvl w:val="1"/>
        <w:numId w:val="8"/>
      </w:numPr>
      <w:tabs>
        <w:tab w:val="left" w:pos="720"/>
      </w:tabs>
      <w:spacing w:line="240" w:lineRule="auto"/>
    </w:pPr>
    <w:rPr>
      <w:rFonts w:ascii="Arial (W1)" w:hAnsi="Arial (W1)" w:eastAsia="宋体"/>
      <w:color w:val="000000"/>
      <w:kern w:val="0"/>
      <w:sz w:val="24"/>
      <w:szCs w:val="24"/>
      <w:lang w:val="en-GB" w:eastAsia="en-US"/>
    </w:rPr>
  </w:style>
  <w:style w:type="character" w:customStyle="1" w:styleId="268">
    <w:name w:val="表格 Char"/>
    <w:link w:val="269"/>
    <w:qFormat/>
    <w:uiPriority w:val="0"/>
    <w:rPr>
      <w:rFonts w:ascii="宋体" w:hAnsi="宋体"/>
    </w:rPr>
  </w:style>
  <w:style w:type="paragraph" w:customStyle="1" w:styleId="269">
    <w:name w:val="表格"/>
    <w:basedOn w:val="1"/>
    <w:link w:val="268"/>
    <w:qFormat/>
    <w:uiPriority w:val="0"/>
    <w:pPr>
      <w:widowControl w:val="0"/>
      <w:spacing w:line="360" w:lineRule="exact"/>
      <w:jc w:val="both"/>
    </w:pPr>
    <w:rPr>
      <w:rFonts w:ascii="宋体" w:hAnsi="宋体" w:eastAsiaTheme="minorEastAsia" w:cstheme="minorBidi"/>
      <w:szCs w:val="22"/>
    </w:rPr>
  </w:style>
  <w:style w:type="paragraph" w:customStyle="1" w:styleId="270">
    <w:name w:val="样式 正文文本缩进 + 左  0 字符"/>
    <w:basedOn w:val="19"/>
    <w:link w:val="271"/>
    <w:qFormat/>
    <w:uiPriority w:val="0"/>
    <w:pPr>
      <w:widowControl w:val="0"/>
      <w:spacing w:after="0"/>
      <w:ind w:left="0" w:leftChars="0" w:firstLine="250" w:firstLineChars="250"/>
    </w:pPr>
    <w:rPr>
      <w:rFonts w:ascii="Times New Roman" w:hAnsi="Times New Roman" w:cs="宋体"/>
    </w:rPr>
  </w:style>
  <w:style w:type="character" w:customStyle="1" w:styleId="271">
    <w:name w:val="样式 正文文本缩进 + 左  0 字符 Char"/>
    <w:link w:val="270"/>
    <w:qFormat/>
    <w:uiPriority w:val="0"/>
    <w:rPr>
      <w:rFonts w:ascii="Times New Roman" w:hAnsi="Times New Roman" w:eastAsia="宋体" w:cs="宋体"/>
      <w:sz w:val="24"/>
      <w:szCs w:val="20"/>
    </w:rPr>
  </w:style>
  <w:style w:type="paragraph" w:customStyle="1" w:styleId="272">
    <w:name w:val="Bid_正文"/>
    <w:basedOn w:val="14"/>
    <w:link w:val="273"/>
    <w:qFormat/>
    <w:uiPriority w:val="0"/>
    <w:pPr>
      <w:spacing w:afterLines="50"/>
      <w:ind w:firstLine="480"/>
      <w:jc w:val="left"/>
    </w:pPr>
    <w:rPr>
      <w:rFonts w:ascii="Calibri" w:hAnsi="Calibri"/>
      <w:szCs w:val="20"/>
      <w:lang w:eastAsia="en-US" w:bidi="en-US"/>
    </w:rPr>
  </w:style>
  <w:style w:type="character" w:customStyle="1" w:styleId="273">
    <w:name w:val="Bid_正文 Char"/>
    <w:link w:val="272"/>
    <w:qFormat/>
    <w:uiPriority w:val="0"/>
    <w:rPr>
      <w:rFonts w:ascii="Calibri" w:hAnsi="Calibri" w:eastAsia="宋体" w:cs="Times New Roman"/>
      <w:kern w:val="0"/>
      <w:sz w:val="24"/>
      <w:szCs w:val="20"/>
      <w:lang w:eastAsia="en-US" w:bidi="en-US"/>
    </w:rPr>
  </w:style>
  <w:style w:type="paragraph" w:customStyle="1" w:styleId="274">
    <w:name w:val="小标号2"/>
    <w:basedOn w:val="1"/>
    <w:qFormat/>
    <w:uiPriority w:val="0"/>
    <w:pPr>
      <w:widowControl w:val="0"/>
      <w:numPr>
        <w:ilvl w:val="0"/>
        <w:numId w:val="9"/>
      </w:numPr>
      <w:tabs>
        <w:tab w:val="left" w:pos="360"/>
        <w:tab w:val="left" w:pos="432"/>
        <w:tab w:val="left" w:pos="960"/>
        <w:tab w:val="left" w:pos="1020"/>
        <w:tab w:val="left" w:pos="1090"/>
      </w:tabs>
      <w:ind w:firstLine="482"/>
      <w:jc w:val="both"/>
    </w:pPr>
    <w:rPr>
      <w:rFonts w:ascii="Times New Roman" w:hAnsi="Times New Roman" w:eastAsia="宋体" w:cs="宋体"/>
      <w:kern w:val="0"/>
      <w:sz w:val="24"/>
      <w:szCs w:val="20"/>
    </w:rPr>
  </w:style>
  <w:style w:type="paragraph" w:customStyle="1" w:styleId="275">
    <w:name w:val="Revision"/>
    <w:hidden/>
    <w:unhideWhenUsed/>
    <w:qFormat/>
    <w:uiPriority w:val="99"/>
    <w:rPr>
      <w:rFonts w:ascii="等线" w:hAnsi="等线" w:eastAsia="等线" w:cs="Times New Roman"/>
      <w:kern w:val="2"/>
      <w:sz w:val="21"/>
      <w:szCs w:val="21"/>
      <w:lang w:val="en-US" w:eastAsia="zh-CN" w:bidi="ar-SA"/>
    </w:rPr>
  </w:style>
  <w:style w:type="paragraph" w:customStyle="1" w:styleId="276">
    <w:name w:val="彩色列表 - 着色 11"/>
    <w:basedOn w:val="1"/>
    <w:next w:val="121"/>
    <w:qFormat/>
    <w:uiPriority w:val="34"/>
    <w:pPr>
      <w:widowControl w:val="0"/>
      <w:spacing w:line="240" w:lineRule="auto"/>
      <w:ind w:firstLine="420" w:firstLineChars="200"/>
      <w:jc w:val="both"/>
    </w:pPr>
    <w:rPr>
      <w:rFonts w:ascii="Calibri" w:hAnsi="Calibri" w:eastAsia="宋体"/>
      <w:szCs w:val="22"/>
      <w:lang w:val="zh-CN" w:eastAsia="zh-CN"/>
    </w:rPr>
  </w:style>
  <w:style w:type="table" w:customStyle="1" w:styleId="277">
    <w:name w:val="Gridding2"/>
    <w:basedOn w:val="46"/>
    <w:qFormat/>
    <w:uiPriority w:val="39"/>
    <w:rPr>
      <w:rFonts w:ascii="等线" w:hAnsi="等线" w:eastAsia="等线" w:cs="Times New Roman"/>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78">
    <w:name w:val="标点正文"/>
    <w:basedOn w:val="1"/>
    <w:qFormat/>
    <w:uiPriority w:val="0"/>
    <w:pPr>
      <w:widowControl w:val="0"/>
      <w:numPr>
        <w:ilvl w:val="0"/>
        <w:numId w:val="10"/>
      </w:numPr>
      <w:tabs>
        <w:tab w:val="left" w:pos="1120"/>
        <w:tab w:val="clear" w:pos="980"/>
      </w:tabs>
      <w:ind w:left="1133" w:leftChars="250" w:hanging="608" w:hangingChars="217"/>
      <w:jc w:val="both"/>
    </w:pPr>
    <w:rPr>
      <w:rFonts w:ascii="Times New Roman" w:hAnsi="Times New Roman" w:eastAsia="宋体"/>
      <w:sz w:val="28"/>
      <w:szCs w:val="28"/>
    </w:rPr>
  </w:style>
  <w:style w:type="character" w:customStyle="1" w:styleId="279">
    <w:name w:val="未处理的提及4"/>
    <w:basedOn w:val="48"/>
    <w:semiHidden/>
    <w:unhideWhenUsed/>
    <w:qFormat/>
    <w:uiPriority w:val="99"/>
    <w:rPr>
      <w:color w:val="605E5C"/>
      <w:shd w:val="clear" w:color="auto" w:fill="E1DFDD"/>
    </w:rPr>
  </w:style>
  <w:style w:type="character" w:customStyle="1" w:styleId="280">
    <w:name w:val="apple-style-span"/>
    <w:basedOn w:val="48"/>
    <w:qFormat/>
    <w:uiPriority w:val="0"/>
  </w:style>
  <w:style w:type="paragraph" w:customStyle="1" w:styleId="281">
    <w:name w:val="正文 首行缩进"/>
    <w:basedOn w:val="1"/>
    <w:link w:val="282"/>
    <w:qFormat/>
    <w:uiPriority w:val="0"/>
    <w:pPr>
      <w:widowControl w:val="0"/>
      <w:spacing w:before="120"/>
      <w:ind w:left="425" w:firstLine="480" w:firstLineChars="200"/>
      <w:jc w:val="both"/>
    </w:pPr>
    <w:rPr>
      <w:rFonts w:ascii="Times New Roman" w:hAnsi="Times New Roman" w:eastAsia="楷体_GB2312"/>
      <w:kern w:val="0"/>
      <w:sz w:val="24"/>
      <w:szCs w:val="20"/>
    </w:rPr>
  </w:style>
  <w:style w:type="character" w:customStyle="1" w:styleId="282">
    <w:name w:val="正文 首行缩进 Char"/>
    <w:link w:val="281"/>
    <w:qFormat/>
    <w:uiPriority w:val="0"/>
    <w:rPr>
      <w:rFonts w:ascii="Times New Roman" w:hAnsi="Times New Roman" w:eastAsia="楷体_GB2312" w:cs="Times New Roman"/>
      <w:kern w:val="0"/>
      <w:sz w:val="24"/>
      <w:szCs w:val="20"/>
    </w:rPr>
  </w:style>
  <w:style w:type="character" w:customStyle="1" w:styleId="283">
    <w:name w:val="正文文本首行缩进 2 字符"/>
    <w:basedOn w:val="73"/>
    <w:link w:val="45"/>
    <w:qFormat/>
    <w:uiPriority w:val="0"/>
    <w:rPr>
      <w:rFonts w:ascii="等线" w:hAnsi="等线" w:eastAsia="等线" w:cs="Times New Roman"/>
      <w:sz w:val="24"/>
      <w:szCs w:val="21"/>
    </w:rPr>
  </w:style>
  <w:style w:type="paragraph" w:customStyle="1" w:styleId="284">
    <w:name w:val="p17"/>
    <w:basedOn w:val="1"/>
    <w:qFormat/>
    <w:uiPriority w:val="0"/>
    <w:pPr>
      <w:spacing w:line="240" w:lineRule="auto"/>
      <w:ind w:firstLine="420"/>
      <w:jc w:val="both"/>
    </w:pPr>
    <w:rPr>
      <w:rFonts w:ascii="Calibri" w:hAnsi="Calibri" w:eastAsia="宋体" w:cs="宋体"/>
      <w:kern w:val="0"/>
    </w:rPr>
  </w:style>
  <w:style w:type="character" w:customStyle="1" w:styleId="285">
    <w:name w:val="*正文 Char"/>
    <w:qFormat/>
    <w:locked/>
    <w:uiPriority w:val="0"/>
    <w:rPr>
      <w:rFonts w:ascii="宋体" w:hAnsi="宋体" w:eastAsia="仿宋_GB2312" w:cs="宋体"/>
      <w:color w:val="000000" w:themeColor="text1"/>
      <w:sz w:val="28"/>
      <w14:textFill>
        <w14:solidFill>
          <w14:schemeClr w14:val="tx1"/>
        </w14:solidFill>
      </w14:textFill>
    </w:rPr>
  </w:style>
  <w:style w:type="character" w:customStyle="1" w:styleId="286">
    <w:name w:val="列出段落 字符"/>
    <w:qFormat/>
    <w:uiPriority w:val="0"/>
    <w:rPr>
      <w:rFonts w:ascii="Times New Roman" w:hAnsi="Times New Roman" w:eastAsia="宋体" w:cs="Times New Roman"/>
      <w:sz w:val="24"/>
      <w:szCs w:val="24"/>
    </w:rPr>
  </w:style>
  <w:style w:type="paragraph" w:customStyle="1" w:styleId="287">
    <w:name w:val="ZW"/>
    <w:basedOn w:val="1"/>
    <w:qFormat/>
    <w:uiPriority w:val="0"/>
    <w:pPr>
      <w:widowControl w:val="0"/>
      <w:spacing w:before="120" w:after="120"/>
      <w:ind w:firstLine="480" w:firstLineChars="200"/>
      <w:jc w:val="both"/>
    </w:pPr>
    <w:rPr>
      <w:rFonts w:ascii="宋体" w:hAnsi="宋体" w:eastAsia="仿宋" w:cstheme="minorBidi"/>
      <w:sz w:val="28"/>
    </w:rPr>
  </w:style>
  <w:style w:type="paragraph" w:customStyle="1" w:styleId="288">
    <w:name w:val="a2"/>
    <w:basedOn w:val="3"/>
    <w:next w:val="1"/>
    <w:qFormat/>
    <w:uiPriority w:val="99"/>
    <w:pPr>
      <w:keepLines w:val="0"/>
      <w:widowControl/>
      <w:numPr>
        <w:numId w:val="11"/>
      </w:numPr>
      <w:tabs>
        <w:tab w:val="left" w:pos="500"/>
        <w:tab w:val="left" w:pos="720"/>
      </w:tabs>
      <w:suppressAutoHyphens/>
      <w:spacing w:before="270" w:after="240" w:line="270" w:lineRule="exact"/>
      <w:jc w:val="left"/>
    </w:pPr>
    <w:rPr>
      <w:rFonts w:ascii="宋体" w:hAnsi="宋体" w:eastAsia="宋体" w:cs="宋体"/>
      <w:bCs w:val="0"/>
      <w:kern w:val="0"/>
      <w:sz w:val="24"/>
      <w:szCs w:val="20"/>
      <w:lang w:val="en-GB" w:eastAsia="en-US"/>
    </w:rPr>
  </w:style>
  <w:style w:type="paragraph" w:customStyle="1" w:styleId="289">
    <w:name w:val="a6"/>
    <w:basedOn w:val="7"/>
    <w:next w:val="1"/>
    <w:qFormat/>
    <w:uiPriority w:val="0"/>
    <w:pPr>
      <w:keepLines w:val="0"/>
      <w:numPr>
        <w:numId w:val="11"/>
      </w:numPr>
      <w:tabs>
        <w:tab w:val="left" w:pos="1140"/>
        <w:tab w:val="left" w:pos="1360"/>
      </w:tabs>
      <w:suppressAutoHyphens/>
      <w:spacing w:before="60" w:after="240" w:line="230" w:lineRule="exact"/>
      <w:ind w:left="2940" w:firstLine="0"/>
    </w:pPr>
    <w:rPr>
      <w:rFonts w:eastAsia="宋体" w:asciiTheme="majorHAnsi" w:hAnsiTheme="majorHAnsi" w:cstheme="majorBidi"/>
      <w:bCs w:val="0"/>
      <w:sz w:val="20"/>
      <w:szCs w:val="20"/>
      <w:lang w:val="en-GB" w:eastAsia="en-US"/>
    </w:rPr>
  </w:style>
  <w:style w:type="paragraph" w:customStyle="1" w:styleId="290">
    <w:name w:val="a3"/>
    <w:basedOn w:val="4"/>
    <w:next w:val="1"/>
    <w:qFormat/>
    <w:uiPriority w:val="99"/>
    <w:pPr>
      <w:keepLines w:val="0"/>
      <w:widowControl/>
      <w:numPr>
        <w:numId w:val="11"/>
      </w:numPr>
      <w:tabs>
        <w:tab w:val="left" w:pos="640"/>
        <w:tab w:val="left" w:pos="880"/>
        <w:tab w:val="left" w:pos="1260"/>
      </w:tabs>
      <w:suppressAutoHyphens/>
      <w:spacing w:line="250" w:lineRule="exact"/>
      <w:jc w:val="both"/>
    </w:pPr>
    <w:rPr>
      <w:rFonts w:asciiTheme="minorHAnsi" w:hAnsiTheme="minorHAnsi" w:eastAsiaTheme="minorEastAsia" w:cstheme="minorBidi"/>
      <w:color w:val="000000"/>
      <w:sz w:val="22"/>
      <w:szCs w:val="20"/>
      <w:lang w:val="en-GB"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97</Pages>
  <Words>3863</Words>
  <Characters>3909</Characters>
  <Lines>1</Lines>
  <Paragraphs>1</Paragraphs>
  <TotalTime>17</TotalTime>
  <ScaleCrop>false</ScaleCrop>
  <LinksUpToDate>false</LinksUpToDate>
  <CharactersWithSpaces>3917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2025-01-13T17:05:00Z</dcterms:created>
  <dc:creator>jeff d</dc:creator>
  <cp:lastModifiedBy>刘子豪</cp:lastModifiedBy>
  <dcterms:modified xsi:type="dcterms:W3CDTF">2025-01-20T07:35:26Z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eyJoZGlkIjoiMGI4MmJhNjBhNWUxMjBiYjIzZjkyOWU3YmE1ODlkYWMiLCJ1c2VySWQiOiI2NjA1NzQwMDcifQ==</vt:lpwstr>
  </property>
  <property fmtid="{D5CDD505-2E9C-101B-9397-08002B2CF9AE}" pid="3" name="KSOProductBuildVer">
    <vt:lpwstr>2052-12.1.0.19770</vt:lpwstr>
  </property>
  <property fmtid="{D5CDD505-2E9C-101B-9397-08002B2CF9AE}" pid="4" name="ICV">
    <vt:lpwstr>943CA310E47F45238DA2DD92A44F5DF0_13</vt:lpwstr>
  </property>
</Properties>
</file>